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jc w:val="center"/>
        <w:rPr>
          <w:rFonts w:hint="default" w:ascii="微软雅黑" w:eastAsia="微软雅黑" w:cs="宋体"/>
          <w:b/>
          <w:sz w:val="48"/>
          <w:szCs w:val="22"/>
          <w:lang w:val="en-US" w:eastAsia="zh-CN" w:bidi="ar-SA"/>
        </w:rPr>
      </w:pPr>
      <w:r>
        <w:rPr>
          <w:rFonts w:hint="eastAsia" w:ascii="微软雅黑" w:hAnsi="宋体" w:eastAsia="微软雅黑" w:cs="宋体"/>
          <w:b/>
          <w:sz w:val="48"/>
          <w:szCs w:val="22"/>
          <w:lang w:val="en-US" w:eastAsia="en-US" w:bidi="ar-SA"/>
        </w:rPr>
        <w:t>N</w:t>
      </w:r>
      <w:r>
        <w:rPr>
          <w:rFonts w:hint="eastAsia" w:ascii="微软雅黑" w:eastAsia="微软雅黑" w:cs="宋体"/>
          <w:b/>
          <w:sz w:val="48"/>
          <w:szCs w:val="22"/>
          <w:lang w:val="en-US" w:eastAsia="zh-CN" w:bidi="ar-SA"/>
        </w:rPr>
        <w:t>BR1009GPE</w:t>
      </w: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spacing w:before="9"/>
        <w:rPr>
          <w:rFonts w:ascii="Times New Roman"/>
          <w:sz w:val="16"/>
        </w:rPr>
      </w:pPr>
    </w:p>
    <w:p>
      <w:pPr>
        <w:spacing w:before="51"/>
        <w:ind w:left="2681" w:right="2893" w:firstLine="0"/>
        <w:jc w:val="center"/>
        <w:rPr>
          <w:rFonts w:hint="eastAsia" w:ascii="微软雅黑" w:eastAsia="微软雅黑"/>
          <w:b/>
          <w:sz w:val="48"/>
        </w:rPr>
      </w:pPr>
      <w:r>
        <w:rPr>
          <w:rFonts w:hint="eastAsia" w:ascii="微软雅黑" w:eastAsia="微软雅黑"/>
          <w:b/>
          <w:sz w:val="48"/>
        </w:rPr>
        <w:t>技术规格书</w:t>
      </w:r>
    </w:p>
    <w:p>
      <w:pPr>
        <w:pStyle w:val="5"/>
        <w:rPr>
          <w:rFonts w:ascii="微软雅黑"/>
          <w:b/>
          <w:sz w:val="62"/>
        </w:rPr>
      </w:pPr>
    </w:p>
    <w:p>
      <w:pPr>
        <w:pStyle w:val="5"/>
        <w:rPr>
          <w:rFonts w:ascii="微软雅黑"/>
          <w:b/>
          <w:sz w:val="62"/>
        </w:rPr>
      </w:pPr>
    </w:p>
    <w:p>
      <w:pPr>
        <w:pStyle w:val="5"/>
        <w:rPr>
          <w:rFonts w:ascii="微软雅黑"/>
          <w:b/>
          <w:sz w:val="62"/>
        </w:rPr>
      </w:pPr>
    </w:p>
    <w:p>
      <w:pPr>
        <w:pStyle w:val="5"/>
        <w:spacing w:before="4"/>
        <w:rPr>
          <w:rFonts w:ascii="微软雅黑"/>
          <w:b/>
          <w:sz w:val="72"/>
        </w:rPr>
      </w:pPr>
    </w:p>
    <w:p>
      <w:pPr>
        <w:spacing w:before="0"/>
        <w:ind w:left="2681" w:right="2893" w:firstLine="0"/>
        <w:jc w:val="center"/>
        <w:rPr>
          <w:rFonts w:hint="eastAsia" w:ascii="微软雅黑" w:eastAsia="微软雅黑"/>
          <w:b/>
          <w:sz w:val="28"/>
        </w:rPr>
      </w:pPr>
      <w:r>
        <w:rPr>
          <w:rFonts w:hint="eastAsia" w:ascii="微软雅黑" w:eastAsia="微软雅黑"/>
          <w:b/>
          <w:sz w:val="28"/>
        </w:rPr>
        <w:t>网是科技</w:t>
      </w:r>
      <w:r>
        <w:rPr>
          <w:rFonts w:hint="eastAsia" w:ascii="微软雅黑" w:eastAsia="微软雅黑"/>
          <w:b/>
          <w:sz w:val="28"/>
          <w:lang w:val="en-US" w:eastAsia="zh-CN"/>
        </w:rPr>
        <w:t>股份</w:t>
      </w:r>
      <w:r>
        <w:rPr>
          <w:rFonts w:hint="eastAsia" w:ascii="微软雅黑" w:eastAsia="微软雅黑"/>
          <w:b/>
          <w:sz w:val="28"/>
        </w:rPr>
        <w:t>有限公司</w:t>
      </w:r>
    </w:p>
    <w:p>
      <w:pPr>
        <w:spacing w:after="0"/>
        <w:jc w:val="center"/>
        <w:rPr>
          <w:rFonts w:hint="eastAsia" w:ascii="微软雅黑" w:eastAsia="微软雅黑"/>
          <w:sz w:val="28"/>
        </w:rPr>
        <w:sectPr>
          <w:type w:val="continuous"/>
          <w:pgSz w:w="11900" w:h="16840"/>
          <w:pgMar w:top="1600" w:right="1120" w:bottom="280" w:left="1340" w:header="720" w:footer="720" w:gutter="0"/>
          <w:cols w:space="720" w:num="1"/>
        </w:sectPr>
      </w:pPr>
    </w:p>
    <w:p>
      <w:pPr>
        <w:pStyle w:val="5"/>
        <w:spacing w:before="17"/>
        <w:rPr>
          <w:rFonts w:hint="eastAsia" w:ascii="微软雅黑" w:eastAsia="宋体"/>
          <w:b/>
          <w:sz w:val="5"/>
          <w:lang w:eastAsia="zh-CN"/>
        </w:rPr>
      </w:pPr>
    </w:p>
    <w:p>
      <w:pPr>
        <w:pStyle w:val="3"/>
        <w:numPr>
          <w:ilvl w:val="0"/>
          <w:numId w:val="1"/>
        </w:numPr>
      </w:pPr>
      <w:r>
        <w:t>产品描述</w:t>
      </w:r>
    </w:p>
    <w:p>
      <w:pPr>
        <w:numPr>
          <w:ilvl w:val="0"/>
          <w:numId w:val="0"/>
        </w:numPr>
        <w:ind w:right="0" w:right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89320" cy="4204335"/>
            <wp:effectExtent l="0" t="0" r="0" b="0"/>
            <wp:docPr id="2" name="图片 2" descr="NBR1009GPE-20230213.1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NBR1009GPE-20230213.126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420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POE路由器NBR100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GPE</w:t>
      </w:r>
    </w:p>
    <w:p>
      <w:pPr>
        <w:pStyle w:val="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1、4个千兆POE供电端口+1个干兆WAN口；</w:t>
      </w:r>
    </w:p>
    <w:p>
      <w:pPr>
        <w:pStyle w:val="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配备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个全干兆自适应端口，1-4个可变WAN口，满足多条宽带自由接入，单线接入最大带宽1000M，带机量100台</w:t>
      </w:r>
    </w:p>
    <w:p>
      <w:pPr>
        <w:pStyle w:val="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2、一线供电，无忧布线</w:t>
      </w:r>
    </w:p>
    <w:p>
      <w:pPr>
        <w:pStyle w:val="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支持IEEE802.3AT/AF标准协议，单口最大供电30W，整机供电</w:t>
      </w:r>
      <w:r>
        <w:rPr>
          <w:rFonts w:hint="eastAsia"/>
          <w:sz w:val="28"/>
          <w:szCs w:val="28"/>
          <w:lang w:val="en-US" w:eastAsia="zh-CN"/>
        </w:rPr>
        <w:t>130</w:t>
      </w:r>
      <w:r>
        <w:rPr>
          <w:rFonts w:hint="eastAsia" w:ascii="宋体" w:hAnsi="宋体"/>
          <w:sz w:val="28"/>
          <w:szCs w:val="28"/>
        </w:rPr>
        <w:t>W。</w:t>
      </w:r>
    </w:p>
    <w:p>
      <w:pPr>
        <w:pStyle w:val="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3、医保和上网一体化</w:t>
      </w:r>
    </w:p>
    <w:p>
      <w:pPr>
        <w:pStyle w:val="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满足医保线路和上网线路一起使用，上网业务走上网线路，医保业务走医保线路，上网+医保两不误</w:t>
      </w:r>
    </w:p>
    <w:p>
      <w:pPr>
        <w:pStyle w:val="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4、集成AC控制器，统一管理AP</w:t>
      </w:r>
    </w:p>
    <w:p>
      <w:pPr>
        <w:pStyle w:val="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无需单独购买AC控制器，统一管理AP，节省成本；</w:t>
      </w:r>
    </w:p>
    <w:p>
      <w:pPr>
        <w:pStyle w:val="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5、支持微信远程管控，工程项目轻松驾驭</w:t>
      </w:r>
    </w:p>
    <w:p>
      <w:pPr>
        <w:pStyle w:val="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“磊科智能网管”公众号扫码绑定设备，设备状态了如指掌，随时随地管理网络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br w:type="page"/>
      </w:r>
    </w:p>
    <w:p>
      <w:pPr>
        <w:pStyle w:val="5"/>
        <w:rPr>
          <w:rFonts w:hint="eastAsia" w:ascii="宋体" w:hAnsi="宋体"/>
          <w:sz w:val="28"/>
          <w:szCs w:val="28"/>
        </w:rPr>
      </w:pPr>
    </w:p>
    <w:p>
      <w:pPr>
        <w:pStyle w:val="3"/>
        <w:numPr>
          <w:ilvl w:val="0"/>
          <w:numId w:val="2"/>
        </w:numPr>
        <w:spacing w:before="186"/>
      </w:pPr>
      <w:r>
        <w:rPr>
          <w:rFonts w:hint="eastAsia"/>
          <w:lang w:val="en-US" w:eastAsia="zh-CN"/>
        </w:rPr>
        <w:t>技术参数</w:t>
      </w:r>
    </w:p>
    <w:p>
      <w:pPr>
        <w:pStyle w:val="4"/>
        <w:tabs>
          <w:tab w:val="left" w:pos="9330"/>
        </w:tabs>
        <w:spacing w:before="33"/>
      </w:pPr>
      <w:r>
        <w:rPr>
          <w:rFonts w:ascii="Times New Roman" w:eastAsia="Times New Roman"/>
          <w:w w:val="104"/>
          <w:shd w:val="clear" w:color="auto" w:fill="BFBFBF"/>
        </w:rPr>
        <w:t xml:space="preserve"> </w:t>
      </w:r>
      <w:r>
        <w:rPr>
          <w:rFonts w:ascii="Times New Roman" w:eastAsia="Times New Roman"/>
          <w:spacing w:val="-12"/>
          <w:shd w:val="clear" w:color="auto" w:fill="BFBFBF"/>
        </w:rPr>
        <w:t xml:space="preserve"> </w:t>
      </w:r>
      <w:r>
        <w:rPr>
          <w:shd w:val="clear" w:color="auto" w:fill="BFBFBF"/>
        </w:rPr>
        <w:t>产品规格</w:t>
      </w:r>
      <w:r>
        <w:rPr>
          <w:shd w:val="clear" w:color="auto" w:fill="BFBFBF"/>
        </w:rPr>
        <w:tab/>
      </w:r>
    </w:p>
    <w:tbl>
      <w:tblPr>
        <w:tblStyle w:val="8"/>
        <w:tblpPr w:leftFromText="180" w:rightFromText="180" w:vertAnchor="text" w:horzAnchor="page" w:tblpX="1978" w:tblpY="196"/>
        <w:tblOverlap w:val="never"/>
        <w:tblW w:w="0" w:type="auto"/>
        <w:tblInd w:w="0" w:type="dxa"/>
        <w:tblBorders>
          <w:top w:val="single" w:color="3366FF" w:sz="4" w:space="0"/>
          <w:left w:val="single" w:color="3366FF" w:sz="4" w:space="0"/>
          <w:bottom w:val="single" w:color="3366FF" w:sz="4" w:space="0"/>
          <w:right w:val="single" w:color="3366FF" w:sz="4" w:space="0"/>
          <w:insideH w:val="single" w:color="3366FF" w:sz="4" w:space="0"/>
          <w:insideV w:val="single" w:color="3366F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6946"/>
      </w:tblGrid>
      <w:tr>
        <w:tblPrEx>
          <w:tblBorders>
            <w:top w:val="single" w:color="3366FF" w:sz="4" w:space="0"/>
            <w:left w:val="single" w:color="3366FF" w:sz="4" w:space="0"/>
            <w:bottom w:val="single" w:color="3366FF" w:sz="4" w:space="0"/>
            <w:right w:val="single" w:color="3366FF" w:sz="4" w:space="0"/>
            <w:insideH w:val="single" w:color="3366FF" w:sz="4" w:space="0"/>
            <w:insideV w:val="single" w:color="3366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微软雅黑" w:hAnsi="微软雅黑" w:eastAsia="微软雅黑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  <w:lang w:val="en-US" w:eastAsia="zh-CN"/>
              </w:rPr>
              <w:t>芯片方案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微软雅黑" w:hAnsi="微软雅黑" w:eastAsia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  <w:lang w:val="en-US" w:eastAsia="zh-CN"/>
              </w:rPr>
              <w:t>880MHz 双核</w:t>
            </w:r>
          </w:p>
        </w:tc>
      </w:tr>
      <w:tr>
        <w:tblPrEx>
          <w:tblBorders>
            <w:top w:val="single" w:color="3366FF" w:sz="4" w:space="0"/>
            <w:left w:val="single" w:color="3366FF" w:sz="4" w:space="0"/>
            <w:bottom w:val="single" w:color="3366FF" w:sz="4" w:space="0"/>
            <w:right w:val="single" w:color="3366FF" w:sz="4" w:space="0"/>
            <w:insideH w:val="single" w:color="3366FF" w:sz="4" w:space="0"/>
            <w:insideV w:val="single" w:color="3366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微软雅黑" w:hAnsi="微软雅黑" w:eastAsia="微软雅黑"/>
                <w:b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/>
                <w:b/>
                <w:sz w:val="18"/>
                <w:szCs w:val="18"/>
                <w:lang w:val="en-US" w:eastAsia="zh-CN"/>
              </w:rPr>
              <w:t>RAM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微软雅黑" w:hAnsi="微软雅黑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1GB</w:t>
            </w:r>
          </w:p>
        </w:tc>
      </w:tr>
      <w:tr>
        <w:tblPrEx>
          <w:tblBorders>
            <w:top w:val="single" w:color="3366FF" w:sz="4" w:space="0"/>
            <w:left w:val="single" w:color="3366FF" w:sz="4" w:space="0"/>
            <w:bottom w:val="single" w:color="3366FF" w:sz="4" w:space="0"/>
            <w:right w:val="single" w:color="3366FF" w:sz="4" w:space="0"/>
            <w:insideH w:val="single" w:color="3366FF" w:sz="4" w:space="0"/>
            <w:insideV w:val="single" w:color="3366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微软雅黑" w:hAnsi="微软雅黑" w:eastAsia="微软雅黑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  <w:lang w:val="en-US" w:eastAsia="zh-CN"/>
              </w:rPr>
              <w:t>ROM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微软雅黑" w:hAnsi="微软雅黑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128MB</w:t>
            </w:r>
          </w:p>
        </w:tc>
      </w:tr>
      <w:tr>
        <w:tblPrEx>
          <w:tblBorders>
            <w:top w:val="single" w:color="3366FF" w:sz="4" w:space="0"/>
            <w:left w:val="single" w:color="3366FF" w:sz="4" w:space="0"/>
            <w:bottom w:val="single" w:color="3366FF" w:sz="4" w:space="0"/>
            <w:right w:val="single" w:color="3366FF" w:sz="4" w:space="0"/>
            <w:insideH w:val="single" w:color="3366FF" w:sz="4" w:space="0"/>
            <w:insideV w:val="single" w:color="3366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标准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微软雅黑" w:hAnsi="微软雅黑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IEEE802.3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,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IEEE802.3u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,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IEEE802.3z ,IEEE802.3x,IEEE802.1x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IEEE802.3at,IEEE802.3af</w:t>
            </w:r>
          </w:p>
        </w:tc>
      </w:tr>
      <w:tr>
        <w:tblPrEx>
          <w:tblBorders>
            <w:top w:val="single" w:color="3366FF" w:sz="4" w:space="0"/>
            <w:left w:val="single" w:color="3366FF" w:sz="4" w:space="0"/>
            <w:bottom w:val="single" w:color="3366FF" w:sz="4" w:space="0"/>
            <w:right w:val="single" w:color="3366FF" w:sz="4" w:space="0"/>
            <w:insideH w:val="single" w:color="3366FF" w:sz="4" w:space="0"/>
            <w:insideV w:val="single" w:color="3366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端口（出厂默认）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LAN口：</w:t>
            </w: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  <w:lang w:val="en-US" w:eastAsia="zh-CN"/>
              </w:rPr>
              <w:t>5×</w:t>
            </w: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10/</w:t>
            </w:r>
            <w:r>
              <w:rPr>
                <w:rFonts w:ascii="微软雅黑" w:hAnsi="微软雅黑" w:eastAsia="微软雅黑"/>
                <w:kern w:val="0"/>
                <w:sz w:val="18"/>
                <w:szCs w:val="18"/>
              </w:rPr>
              <w:t>100/</w:t>
            </w: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100/1000M AUTO MDI/MDIX RJ45 port</w:t>
            </w:r>
          </w:p>
          <w:p>
            <w:pPr>
              <w:jc w:val="both"/>
              <w:rPr>
                <w:rFonts w:hint="eastAsia" w:ascii="微软雅黑" w:hAnsi="微软雅黑" w:eastAsia="微软雅黑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  <w:lang w:val="en-US" w:eastAsia="zh-CN"/>
              </w:rPr>
              <w:t>WAN/</w:t>
            </w: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LAN口：</w:t>
            </w: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  <w:lang w:val="en-US" w:eastAsia="zh-CN"/>
              </w:rPr>
              <w:t>3×</w:t>
            </w: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10/</w:t>
            </w:r>
            <w:r>
              <w:rPr>
                <w:rFonts w:ascii="微软雅黑" w:hAnsi="微软雅黑" w:eastAsia="微软雅黑"/>
                <w:kern w:val="0"/>
                <w:sz w:val="18"/>
                <w:szCs w:val="18"/>
              </w:rPr>
              <w:t>100/</w:t>
            </w: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100/1000M AUTO MDI/MDIX RJ45 port</w:t>
            </w: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  <w:lang w:val="en-US" w:eastAsia="zh-CN"/>
              </w:rPr>
              <w:t>s</w:t>
            </w:r>
          </w:p>
          <w:p>
            <w:pPr>
              <w:jc w:val="both"/>
              <w:rPr>
                <w:rFonts w:hint="eastAsia" w:ascii="微软雅黑" w:hAnsi="微软雅黑" w:eastAsia="微软雅黑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WAN口：1×10/</w:t>
            </w:r>
            <w:r>
              <w:rPr>
                <w:rFonts w:ascii="微软雅黑" w:hAnsi="微软雅黑" w:eastAsia="微软雅黑"/>
                <w:kern w:val="0"/>
                <w:sz w:val="18"/>
                <w:szCs w:val="18"/>
              </w:rPr>
              <w:t>100/</w:t>
            </w: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100/1000</w:t>
            </w:r>
            <w:r>
              <w:rPr>
                <w:rFonts w:ascii="微软雅黑" w:hAnsi="微软雅黑" w:eastAsia="微软雅黑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AUTO MDI/MDIX RJ45 port</w:t>
            </w:r>
          </w:p>
        </w:tc>
      </w:tr>
      <w:tr>
        <w:tblPrEx>
          <w:tblBorders>
            <w:top w:val="single" w:color="3366FF" w:sz="4" w:space="0"/>
            <w:left w:val="single" w:color="3366FF" w:sz="4" w:space="0"/>
            <w:bottom w:val="single" w:color="3366FF" w:sz="4" w:space="0"/>
            <w:right w:val="single" w:color="3366FF" w:sz="4" w:space="0"/>
            <w:insideH w:val="single" w:color="3366FF" w:sz="4" w:space="0"/>
            <w:insideV w:val="single" w:color="3366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LED指示灯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PWR、SYS、端口状态</w:t>
            </w:r>
          </w:p>
        </w:tc>
      </w:tr>
      <w:tr>
        <w:tblPrEx>
          <w:tblBorders>
            <w:top w:val="single" w:color="3366FF" w:sz="4" w:space="0"/>
            <w:left w:val="single" w:color="3366FF" w:sz="4" w:space="0"/>
            <w:bottom w:val="single" w:color="3366FF" w:sz="4" w:space="0"/>
            <w:right w:val="single" w:color="3366FF" w:sz="4" w:space="0"/>
            <w:insideH w:val="single" w:color="3366FF" w:sz="4" w:space="0"/>
            <w:insideV w:val="single" w:color="3366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按键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1</w:t>
            </w: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RESET</w:t>
            </w:r>
          </w:p>
        </w:tc>
      </w:tr>
      <w:tr>
        <w:tblPrEx>
          <w:tblBorders>
            <w:top w:val="single" w:color="3366FF" w:sz="4" w:space="0"/>
            <w:left w:val="single" w:color="3366FF" w:sz="4" w:space="0"/>
            <w:bottom w:val="single" w:color="3366FF" w:sz="4" w:space="0"/>
            <w:right w:val="single" w:color="3366FF" w:sz="4" w:space="0"/>
            <w:insideH w:val="single" w:color="3366FF" w:sz="4" w:space="0"/>
            <w:insideV w:val="single" w:color="3366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微软雅黑" w:hAnsi="微软雅黑" w:eastAsia="微软雅黑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  <w:lang w:val="en-US" w:eastAsia="zh-CN"/>
              </w:rPr>
              <w:t>壁挂空中心距离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微软雅黑" w:hAnsi="微软雅黑" w:eastAsia="微软雅黑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  <w:lang w:val="en-US" w:eastAsia="zh-CN"/>
              </w:rPr>
              <w:t>164mm</w:t>
            </w:r>
          </w:p>
        </w:tc>
      </w:tr>
      <w:tr>
        <w:tblPrEx>
          <w:tblBorders>
            <w:top w:val="single" w:color="3366FF" w:sz="4" w:space="0"/>
            <w:left w:val="single" w:color="3366FF" w:sz="4" w:space="0"/>
            <w:bottom w:val="single" w:color="3366FF" w:sz="4" w:space="0"/>
            <w:right w:val="single" w:color="3366FF" w:sz="4" w:space="0"/>
            <w:insideH w:val="single" w:color="3366FF" w:sz="4" w:space="0"/>
            <w:insideV w:val="single" w:color="3366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外形尺寸</w:t>
            </w:r>
          </w:p>
          <w:p>
            <w:pPr>
              <w:jc w:val="left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（L</w:t>
            </w:r>
            <w:r>
              <w:rPr>
                <w:rFonts w:hint="eastAsia" w:ascii="微软雅黑" w:hAnsi="微软雅黑" w:eastAsia="微软雅黑"/>
                <w:b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W</w:t>
            </w:r>
            <w:r>
              <w:rPr>
                <w:rFonts w:hint="eastAsia" w:ascii="微软雅黑" w:hAnsi="微软雅黑" w:eastAsia="微软雅黑"/>
                <w:b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H）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190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mm×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mm×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28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mm（L×W×H）</w:t>
            </w:r>
          </w:p>
        </w:tc>
      </w:tr>
      <w:tr>
        <w:tblPrEx>
          <w:tblBorders>
            <w:top w:val="single" w:color="3366FF" w:sz="4" w:space="0"/>
            <w:left w:val="single" w:color="3366FF" w:sz="4" w:space="0"/>
            <w:bottom w:val="single" w:color="3366FF" w:sz="4" w:space="0"/>
            <w:right w:val="single" w:color="3366FF" w:sz="4" w:space="0"/>
            <w:insideH w:val="single" w:color="3366FF" w:sz="4" w:space="0"/>
            <w:insideV w:val="single" w:color="3366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电源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105"/>
              <w:jc w:val="both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外置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52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V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/2.5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A</w:t>
            </w:r>
          </w:p>
        </w:tc>
      </w:tr>
      <w:tr>
        <w:tblPrEx>
          <w:tblBorders>
            <w:top w:val="single" w:color="3366FF" w:sz="4" w:space="0"/>
            <w:left w:val="single" w:color="3366FF" w:sz="4" w:space="0"/>
            <w:bottom w:val="single" w:color="3366FF" w:sz="4" w:space="0"/>
            <w:right w:val="single" w:color="3366FF" w:sz="4" w:space="0"/>
            <w:insideH w:val="single" w:color="3366FF" w:sz="4" w:space="0"/>
            <w:insideV w:val="single" w:color="3366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 w:val="18"/>
                <w:szCs w:val="18"/>
              </w:rPr>
              <w:t>使用环境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spacing w:line="300" w:lineRule="auto"/>
              <w:ind w:firstLine="0" w:firstLineChars="0"/>
              <w:jc w:val="both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/>
                <w:kern w:val="0"/>
                <w:sz w:val="18"/>
                <w:szCs w:val="18"/>
              </w:rPr>
              <w:t xml:space="preserve">工作温度：0℃ 到 40℃ </w:t>
            </w:r>
          </w:p>
          <w:p>
            <w:pPr>
              <w:pStyle w:val="11"/>
              <w:spacing w:line="300" w:lineRule="auto"/>
              <w:ind w:firstLine="0" w:firstLineChars="0"/>
              <w:jc w:val="both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/>
                <w:kern w:val="0"/>
                <w:sz w:val="18"/>
                <w:szCs w:val="18"/>
              </w:rPr>
              <w:t>存储温度：-</w:t>
            </w: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/>
                <w:kern w:val="0"/>
                <w:sz w:val="18"/>
                <w:szCs w:val="18"/>
              </w:rPr>
              <w:t xml:space="preserve">0℃ 到 70℃ </w:t>
            </w:r>
          </w:p>
          <w:p>
            <w:pPr>
              <w:pStyle w:val="11"/>
              <w:spacing w:line="300" w:lineRule="auto"/>
              <w:ind w:firstLine="0" w:firstLineChars="0"/>
              <w:jc w:val="both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/>
                <w:kern w:val="0"/>
                <w:sz w:val="18"/>
                <w:szCs w:val="18"/>
              </w:rPr>
              <w:t xml:space="preserve">工作湿度：10% 到 90% 不凝结 </w:t>
            </w:r>
          </w:p>
          <w:p>
            <w:pPr>
              <w:jc w:val="both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kern w:val="0"/>
                <w:sz w:val="18"/>
                <w:szCs w:val="18"/>
              </w:rPr>
              <w:t>存储湿度：5% 到 90% 不凝结</w:t>
            </w:r>
          </w:p>
        </w:tc>
      </w:tr>
    </w:tbl>
    <w:p>
      <w:pPr>
        <w:pStyle w:val="4"/>
        <w:tabs>
          <w:tab w:val="left" w:pos="9330"/>
        </w:tabs>
        <w:ind w:left="0" w:leftChars="0" w:firstLine="0" w:firstLineChars="0"/>
        <w:rPr>
          <w:rFonts w:ascii="Times New Roman" w:eastAsia="Times New Roman"/>
          <w:spacing w:val="-12"/>
          <w:shd w:val="clear" w:color="auto" w:fill="BFBFBF"/>
        </w:rPr>
      </w:pPr>
    </w:p>
    <w:p>
      <w:pPr>
        <w:rPr>
          <w:rFonts w:hint="eastAsia"/>
          <w:shd w:val="clear" w:color="auto" w:fill="BFBFBF"/>
          <w:lang w:val="en-US" w:eastAsia="zh-CN"/>
        </w:rPr>
      </w:pPr>
      <w:r>
        <w:rPr>
          <w:rFonts w:hint="eastAsia"/>
          <w:shd w:val="clear" w:color="auto" w:fill="BFBFBF"/>
          <w:lang w:val="en-US" w:eastAsia="zh-CN"/>
        </w:rPr>
        <w:br w:type="page"/>
      </w:r>
    </w:p>
    <w:p>
      <w:pPr>
        <w:pStyle w:val="4"/>
        <w:tabs>
          <w:tab w:val="left" w:pos="9330"/>
        </w:tabs>
        <w:rPr>
          <w:shd w:val="clear" w:color="auto" w:fill="BFBFBF"/>
        </w:rPr>
      </w:pPr>
      <w:r>
        <w:rPr>
          <w:rFonts w:hint="eastAsia"/>
          <w:shd w:val="clear" w:color="auto" w:fill="BFBFBF"/>
          <w:lang w:val="en-US" w:eastAsia="zh-CN"/>
        </w:rPr>
        <w:t>软件特性</w:t>
      </w:r>
      <w:r>
        <w:rPr>
          <w:shd w:val="clear" w:color="auto" w:fill="BFBFBF"/>
        </w:rPr>
        <w:tab/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tbl>
      <w:tblPr>
        <w:tblStyle w:val="8"/>
        <w:tblW w:w="9036" w:type="dxa"/>
        <w:tblInd w:w="5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4"/>
        <w:gridCol w:w="65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微软雅黑" w:hAnsi="微软雅黑" w:eastAsia="微软雅黑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微软雅黑" w:hAnsi="微软雅黑" w:eastAsia="微软雅黑"/>
                <w:b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微软雅黑" w:hAnsi="微软雅黑" w:eastAsia="微软雅黑"/>
                <w:b/>
                <w:sz w:val="18"/>
                <w:szCs w:val="18"/>
                <w:lang w:val="en-US" w:eastAsia="zh-CN"/>
              </w:rPr>
              <w:instrText xml:space="preserve"> HYPERLINK "" \l "登录页!A1" </w:instrText>
            </w:r>
            <w:r>
              <w:rPr>
                <w:rFonts w:hint="default" w:ascii="微软雅黑" w:hAnsi="微软雅黑" w:eastAsia="微软雅黑"/>
                <w:b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微软雅黑" w:hAnsi="微软雅黑" w:eastAsia="微软雅黑"/>
                <w:b/>
                <w:sz w:val="18"/>
                <w:szCs w:val="18"/>
                <w:lang w:val="en-US" w:eastAsia="zh-CN"/>
              </w:rPr>
              <w:t>登录页</w:t>
            </w:r>
            <w:r>
              <w:rPr>
                <w:rFonts w:hint="default" w:ascii="微软雅黑" w:hAnsi="微软雅黑" w:eastAsia="微软雅黑"/>
                <w:b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登录用户名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登录密码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终端用户软件许可协议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  <w:instrText xml:space="preserve"> HYPERLINK "" \l "首页!A1" </w:instrText>
            </w:r>
            <w:r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  <w:t>首页</w:t>
            </w:r>
            <w:r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  <w:fldChar w:fldCharType="end"/>
            </w: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联网状态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工作时长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"联网设备!A1"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联网设备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"内网设置!A1"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内网设置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"上网设置!A1"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上网设置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"用手机管理路由器!A1"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用手机管理路由器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  <w:instrText xml:space="preserve"> HYPERLINK "" \l "网络!A1" </w:instrText>
            </w:r>
            <w:r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  <w:t>网络</w:t>
            </w:r>
            <w:r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  <w:fldChar w:fldCharType="end"/>
            </w: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"IPTV!A1"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IPTV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"内网防火墙!A1"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网络防火墙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"访问控制!A1" </w:instrTex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访问控制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"高级设置!A1" </w:instrTex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高级设置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  <w:t>应用</w:t>
            </w: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"策略路由!A1"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策略路由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"QOS!A1"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QOS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"静态路由!A1"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静态路由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端口映射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"动态域名!A1"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动态域名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"远程访问!A1"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远程访问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"PPTP客户端!A1"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PPTP客户端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"L2TP客户端!A1"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L2TP客户端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  <w:t>工具</w:t>
            </w: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"路由信息!A1"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路由信息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"计划任务!A1"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计划任务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"指示灯!A1" </w:instrTex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指示灯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"初始化!A1" </w:instrTex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初始化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"管理密码!A1" </w:instrTex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管理密码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"重启路由器!A1" </w:instrTex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重启路由器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"时间设置!A1" </w:instrTex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时间设置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"固件升级!A1" </w:instrTex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固件升级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"拨号日志!A1" </w:instrTex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拨号日志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宋体"/>
                <w:b/>
                <w:sz w:val="18"/>
                <w:szCs w:val="18"/>
                <w:lang w:val="en-US" w:eastAsia="zh-CN" w:bidi="ar-SA"/>
              </w:rPr>
              <w:t>AC控制器</w:t>
            </w: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统计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"'AC-AP管理'!A1"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AP管理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"'AC-无线业务设置'!A1"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无线业务设置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"'AC-射频设置'!A1"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en-US" w:bidi="ar-SA"/>
              </w:rPr>
              <w:t>射频设置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"'AC-指示灯'!A1"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指示灯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"'AC-有线VLAN设置'!A1"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有线VLAN设置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"'AC-重启'!A1"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重启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"'AC-升级 and 恢复出厂'!A1"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升级/恢复出厂设置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instrText xml:space="preserve"> HYPERLINK "" \l "'AC-自动绑定开关'!A1" </w:instrTex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自动绑定开关</w:t>
            </w: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登录密码设置</w:t>
            </w:r>
          </w:p>
        </w:tc>
      </w:tr>
    </w:tbl>
    <w:p>
      <w:pPr>
        <w:pStyle w:val="4"/>
        <w:tabs>
          <w:tab w:val="left" w:pos="9330"/>
        </w:tabs>
        <w:spacing w:before="0"/>
        <w:ind w:left="0" w:leftChars="0" w:firstLine="0" w:firstLineChars="0"/>
        <w:rPr>
          <w:b/>
          <w:sz w:val="20"/>
        </w:rPr>
      </w:pPr>
    </w:p>
    <w:sectPr>
      <w:headerReference r:id="rId5" w:type="default"/>
      <w:pgSz w:w="11900" w:h="16840"/>
      <w:pgMar w:top="1520" w:right="1120" w:bottom="280" w:left="1340" w:header="875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5487670</wp:posOffset>
          </wp:positionH>
          <wp:positionV relativeFrom="page">
            <wp:posOffset>554990</wp:posOffset>
          </wp:positionV>
          <wp:extent cx="1253490" cy="165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3491" cy="165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4097" o:spid="_x0000_s4097" o:spt="20" style="position:absolute;left:0pt;margin-left:72.95pt;margin-top:68.15pt;height:0pt;width:461pt;mso-position-horizontal-relative:page;mso-position-vertical-relative:page;z-index:-251656192;mso-width-relative:page;mso-height-relative:page;" stroked="t" coordsize="21600,21600">
          <v:path arrowok="t"/>
          <v:fill focussize="0,0"/>
          <v:stroke weight="0.48pt" color="#000000"/>
          <v:imagedata o:title=""/>
          <o:lock v:ext="edit"/>
        </v:line>
      </w:pict>
    </w:r>
    <w:r>
      <w:pict>
        <v:shape id="_x0000_s4098" o:spid="_x0000_s4098" o:spt="202" type="#_x0000_t202" style="position:absolute;left:0pt;margin-left:71.95pt;margin-top:44.45pt;height:15.95pt;width:117.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5"/>
                  <w:spacing w:line="319" w:lineRule="exact"/>
                  <w:ind w:left="20"/>
                  <w:rPr>
                    <w:rFonts w:hint="eastAsia" w:ascii="微软雅黑" w:eastAsia="微软雅黑"/>
                  </w:rPr>
                </w:pPr>
                <w:r>
                  <w:rPr>
                    <w:rFonts w:hint="eastAsia" w:ascii="微软雅黑" w:eastAsia="微软雅黑"/>
                  </w:rPr>
                  <w:t>网是科技</w:t>
                </w:r>
                <w:r>
                  <w:rPr>
                    <w:rFonts w:hint="eastAsia" w:ascii="微软雅黑" w:eastAsia="微软雅黑"/>
                    <w:lang w:val="en-US" w:eastAsia="zh-CN"/>
                  </w:rPr>
                  <w:t>股份</w:t>
                </w:r>
                <w:r>
                  <w:rPr>
                    <w:rFonts w:hint="eastAsia" w:ascii="微软雅黑" w:eastAsia="微软雅黑"/>
                  </w:rPr>
                  <w:t>有限公司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7FC3C5"/>
    <w:multiLevelType w:val="singleLevel"/>
    <w:tmpl w:val="E47FC3C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5DE2B99"/>
    <w:multiLevelType w:val="singleLevel"/>
    <w:tmpl w:val="35DE2B9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JlYTJjMmQ4NTk1Mzg3YjA5NjMzMjUzMjhlMWYzMWIifQ=="/>
  </w:docVars>
  <w:rsids>
    <w:rsidRoot w:val="00000000"/>
    <w:rsid w:val="020C5DD3"/>
    <w:rsid w:val="06452E3E"/>
    <w:rsid w:val="12370F98"/>
    <w:rsid w:val="17ED10FF"/>
    <w:rsid w:val="284E7085"/>
    <w:rsid w:val="2ABC7E1B"/>
    <w:rsid w:val="2FBD56B4"/>
    <w:rsid w:val="38D042A8"/>
    <w:rsid w:val="3A241DB6"/>
    <w:rsid w:val="3F886EA2"/>
    <w:rsid w:val="40334882"/>
    <w:rsid w:val="51210E5D"/>
    <w:rsid w:val="57E41F98"/>
    <w:rsid w:val="60653729"/>
    <w:rsid w:val="6E662F59"/>
    <w:rsid w:val="72B93CF5"/>
    <w:rsid w:val="757854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2681" w:right="2893"/>
      <w:jc w:val="center"/>
      <w:outlineLvl w:val="1"/>
    </w:pPr>
    <w:rPr>
      <w:rFonts w:ascii="微软雅黑" w:hAnsi="微软雅黑" w:eastAsia="微软雅黑" w:cs="微软雅黑"/>
      <w:b/>
      <w:bCs/>
      <w:sz w:val="48"/>
      <w:szCs w:val="48"/>
    </w:rPr>
  </w:style>
  <w:style w:type="paragraph" w:styleId="3">
    <w:name w:val="heading 2"/>
    <w:basedOn w:val="1"/>
    <w:next w:val="1"/>
    <w:qFormat/>
    <w:uiPriority w:val="1"/>
    <w:pPr>
      <w:spacing w:before="38"/>
      <w:ind w:left="119"/>
      <w:outlineLvl w:val="2"/>
    </w:pPr>
    <w:rPr>
      <w:rFonts w:ascii="微软雅黑" w:hAnsi="微软雅黑" w:eastAsia="微软雅黑" w:cs="微软雅黑"/>
      <w:b/>
      <w:bCs/>
      <w:sz w:val="24"/>
      <w:szCs w:val="24"/>
    </w:rPr>
  </w:style>
  <w:style w:type="paragraph" w:styleId="4">
    <w:name w:val="heading 3"/>
    <w:basedOn w:val="1"/>
    <w:next w:val="1"/>
    <w:qFormat/>
    <w:uiPriority w:val="1"/>
    <w:pPr>
      <w:spacing w:before="34"/>
      <w:ind w:left="119"/>
      <w:outlineLvl w:val="3"/>
    </w:pPr>
    <w:rPr>
      <w:rFonts w:ascii="宋体" w:hAnsi="宋体" w:eastAsia="宋体" w:cs="宋体"/>
      <w:b/>
      <w:bCs/>
      <w:sz w:val="23"/>
      <w:szCs w:val="23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21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618</Words>
  <Characters>925</Characters>
  <TotalTime>0</TotalTime>
  <ScaleCrop>false</ScaleCrop>
  <LinksUpToDate>false</LinksUpToDate>
  <CharactersWithSpaces>975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2022-02-23T01:39:00Z</dcterms:created>
  <dc:creator>Administrator</dc:creator>
  <cp:lastModifiedBy>张彬</cp:lastModifiedBy>
  <dcterms:modified xsi:type="dcterms:W3CDTF">2024-06-19T03:50:51Z</dcterms:modified>
  <dc:title>Microsoft Word - NX3-T_data sheet_0.1.docx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Word</vt:lpwstr>
  </property>
  <property fmtid="{D5CDD505-2E9C-101B-9397-08002B2CF9AE}" pid="4" name="LastSaved">
    <vt:filetime>2022-02-23T00:00:00Z</vt:filetime>
  </property>
  <property fmtid="{D5CDD505-2E9C-101B-9397-08002B2CF9AE}" pid="5" name="KSOProductBuildVer">
    <vt:lpwstr>2052-12.1.0.16929</vt:lpwstr>
  </property>
  <property fmtid="{D5CDD505-2E9C-101B-9397-08002B2CF9AE}" pid="6" name="ICV">
    <vt:lpwstr>1D9F046AE9ED4538B98F1F57B46FFC73</vt:lpwstr>
  </property>
</Properties>
</file>