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262D9"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-3615690</wp:posOffset>
            </wp:positionH>
            <wp:positionV relativeFrom="paragraph">
              <wp:posOffset>-2216150</wp:posOffset>
            </wp:positionV>
            <wp:extent cx="12915265" cy="11986895"/>
            <wp:effectExtent l="0" t="0" r="0" b="6350"/>
            <wp:wrapNone/>
            <wp:docPr id="2" name="图片 8" descr="shape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shape-0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15265" cy="1198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-1197610</wp:posOffset>
            </wp:positionH>
            <wp:positionV relativeFrom="paragraph">
              <wp:posOffset>-1682750</wp:posOffset>
            </wp:positionV>
            <wp:extent cx="2811780" cy="2811780"/>
            <wp:effectExtent l="0" t="0" r="0" b="0"/>
            <wp:wrapNone/>
            <wp:docPr id="1" name="图片 1" descr="netcore log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etcore logo-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73E076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06CCD768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1D2AD870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6E7400E2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15AA0392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3C1B1D03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59627059"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-208915</wp:posOffset>
                </wp:positionH>
                <wp:positionV relativeFrom="paragraph">
                  <wp:posOffset>47625</wp:posOffset>
                </wp:positionV>
                <wp:extent cx="5891530" cy="102489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67865" y="3376930"/>
                          <a:ext cx="5891530" cy="1024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ABA8C"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NMS5728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.45pt;margin-top:3.75pt;height:80.7pt;width:463.9pt;z-index:251659264;mso-width-relative:page;mso-height-relative:page;" filled="f" stroked="f" coordsize="21600,21600" o:gfxdata="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Xpsos2gAAAAkBAAAPAAAAAAAA&#10;AAEAIAAAACIAAABkcnMvZG93bnJldi54bWxQSwECFAAUAAAACACHTuJAGmnc10kCAABz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4ABA8C"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FFFFFF" w:themeColor="background1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NMS5728</w:t>
                      </w:r>
                    </w:p>
                  </w:txbxContent>
                </v:textbox>
              </v:shape>
            </w:pict>
          </mc:Fallback>
        </mc:AlternateContent>
      </w:r>
    </w:p>
    <w:p w14:paraId="1E5A59BD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74A82523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55AE8278"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58420</wp:posOffset>
                </wp:positionV>
                <wp:extent cx="5782310" cy="9055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2310" cy="905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AADF9">
                            <w:pPr>
                              <w:jc w:val="center"/>
                              <w:rPr>
                                <w:rFonts w:hint="default" w:ascii="Arial" w:hAnsi="Arial" w:eastAsia="宋体" w:cs="Arial"/>
                                <w:color w:val="FFFFFF" w:themeColor="background1"/>
                                <w:sz w:val="40"/>
                                <w:szCs w:val="4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color w:val="FFFFFF" w:themeColor="background1"/>
                                <w:sz w:val="40"/>
                                <w:szCs w:val="4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24GE+4 SFP+(10G)</w:t>
                            </w:r>
                          </w:p>
                          <w:p w14:paraId="7297D36A">
                            <w:pPr>
                              <w:jc w:val="center"/>
                              <w:rPr>
                                <w:rFonts w:hint="default" w:ascii="Arial" w:hAnsi="Arial" w:eastAsia="宋体" w:cs="Arial"/>
                                <w:color w:val="FFFFFF" w:themeColor="background1"/>
                                <w:sz w:val="40"/>
                                <w:szCs w:val="4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color w:val="FFFFFF" w:themeColor="background1"/>
                                <w:sz w:val="40"/>
                                <w:szCs w:val="4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三层管理型以太网交换机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45pt;margin-top:4.6pt;height:71.3pt;width:455.3pt;z-index:251660288;mso-width-relative:page;mso-height-relative:page;" filled="f" stroked="f" coordsize="21600,21600" o:gfxdata="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NggTLaAAAACQEAAA8AAAAAAAAAAQAgAAAAIgAAAGRy&#10;cy9kb3ducmV2LnhtbFBLAQIUABQAAAAIAIdO4kAW9tVI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73AADF9">
                      <w:pPr>
                        <w:jc w:val="center"/>
                        <w:rPr>
                          <w:rFonts w:hint="default" w:ascii="Arial" w:hAnsi="Arial" w:eastAsia="宋体" w:cs="Arial"/>
                          <w:color w:val="FFFFFF" w:themeColor="background1"/>
                          <w:sz w:val="40"/>
                          <w:szCs w:val="4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color w:val="FFFFFF" w:themeColor="background1"/>
                          <w:sz w:val="40"/>
                          <w:szCs w:val="4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24GE+4 SFP+(10G)</w:t>
                      </w:r>
                    </w:p>
                    <w:p w14:paraId="7297D36A">
                      <w:pPr>
                        <w:jc w:val="center"/>
                        <w:rPr>
                          <w:rFonts w:hint="default" w:ascii="Arial" w:hAnsi="Arial" w:eastAsia="宋体" w:cs="Arial"/>
                          <w:color w:val="FFFFFF" w:themeColor="background1"/>
                          <w:sz w:val="40"/>
                          <w:szCs w:val="4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color w:val="FFFFFF" w:themeColor="background1"/>
                          <w:sz w:val="40"/>
                          <w:szCs w:val="4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三层管理型以太网交换机</w:t>
                      </w:r>
                    </w:p>
                  </w:txbxContent>
                </v:textbox>
              </v:shape>
            </w:pict>
          </mc:Fallback>
        </mc:AlternateContent>
      </w:r>
    </w:p>
    <w:p w14:paraId="1FD29239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0BE4A4A9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2121590A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3F8CD691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74722091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0449AF11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4AEAAABB">
      <w:pPr>
        <w:rPr>
          <w:rFonts w:hint="eastAsia" w:ascii="微软雅黑" w:hAnsi="微软雅黑" w:eastAsia="微软雅黑" w:cs="微软雅黑"/>
          <w:sz w:val="21"/>
          <w:szCs w:val="21"/>
        </w:rPr>
      </w:pPr>
    </w:p>
    <w:p w14:paraId="5E6E46A3">
      <w:pPr>
        <w:jc w:val="both"/>
        <w:rPr>
          <w:rFonts w:hint="eastAsia" w:ascii="微软雅黑" w:hAnsi="微软雅黑" w:eastAsia="微软雅黑" w:cs="微软雅黑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13206B0">
      <w:pPr>
        <w:pStyle w:val="4"/>
        <w:spacing w:line="240" w:lineRule="auto"/>
        <w:rPr>
          <w:rFonts w:hint="eastAsia" w:ascii="微软雅黑" w:hAnsi="微软雅黑" w:eastAsia="微软雅黑" w:cs="微软雅黑"/>
          <w:b/>
          <w:bCs/>
          <w:color w:val="0070C0"/>
          <w:sz w:val="40"/>
          <w:szCs w:val="40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40"/>
          <w:szCs w:val="40"/>
          <w:u w:val="none"/>
          <w:lang w:val="en-US" w:eastAsia="zh-CN"/>
        </w:rPr>
        <w:t>产品描述：</w:t>
      </w:r>
    </w:p>
    <w:p w14:paraId="759E59C5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Chars="0"/>
        <w:textAlignment w:val="auto"/>
        <w:rPr>
          <w:rFonts w:hint="eastAsia" w:ascii="微软雅黑" w:hAnsi="微软雅黑" w:eastAsia="微软雅黑"/>
          <w:color w:val="262626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  <w:lang w:val="en-US" w:eastAsia="zh-CN" w:bidi="ar-SA"/>
        </w:rPr>
        <w:t xml:space="preserve">  </w:t>
      </w:r>
      <w:r>
        <w:rPr>
          <w:rFonts w:hint="eastAsia" w:ascii="微软雅黑" w:hAnsi="微软雅黑" w:eastAsia="微软雅黑" w:cs="微软雅黑"/>
          <w:kern w:val="2"/>
          <w:sz w:val="22"/>
          <w:szCs w:val="22"/>
          <w:lang w:val="en-US" w:eastAsia="zh-CN" w:bidi="ar-SA"/>
        </w:rPr>
        <w:t xml:space="preserve"> NSM5728</w:t>
      </w:r>
      <w:r>
        <w:rPr>
          <w:rFonts w:hint="eastAsia" w:ascii="微软雅黑" w:hAnsi="微软雅黑" w:eastAsia="微软雅黑"/>
          <w:sz w:val="22"/>
          <w:szCs w:val="22"/>
        </w:rPr>
        <w:t>是三层</w:t>
      </w:r>
      <w:r>
        <w:rPr>
          <w:rFonts w:hint="eastAsia" w:ascii="微软雅黑" w:hAnsi="微软雅黑" w:eastAsia="微软雅黑"/>
          <w:sz w:val="22"/>
          <w:szCs w:val="22"/>
          <w:lang w:val="en-US" w:eastAsia="zh-CN"/>
        </w:rPr>
        <w:t>管理型</w:t>
      </w:r>
      <w:r>
        <w:rPr>
          <w:rFonts w:hint="eastAsia" w:ascii="微软雅黑" w:hAnsi="微软雅黑" w:eastAsia="微软雅黑"/>
          <w:sz w:val="22"/>
          <w:szCs w:val="22"/>
        </w:rPr>
        <w:t>以太网交换机，为企业网络和运营商客户提供万兆上行链路，还可以满足经济高效的千兆接入需求。该设备采用高性能低功耗网络处理器，提供千兆线速转发性能，支持绿色以太网线路休眠功能，也是业内同级设备功耗最低的设备。支持强大的QoS和ACL功能，IP+MAC+端口绑定等安全功能支持服务流分类和数据包优先级标记。</w:t>
      </w:r>
    </w:p>
    <w:p w14:paraId="1429D71F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20" w:firstLineChars="100"/>
        <w:textAlignment w:val="auto"/>
        <w:rPr>
          <w:rFonts w:hint="eastAsia" w:ascii="微软雅黑" w:hAnsi="微软雅黑" w:eastAsia="微软雅黑"/>
          <w:color w:val="262626"/>
          <w:sz w:val="22"/>
          <w:szCs w:val="22"/>
        </w:rPr>
      </w:pPr>
      <w:r>
        <w:rPr>
          <w:rFonts w:hint="eastAsia" w:ascii="微软雅黑" w:hAnsi="微软雅黑" w:eastAsia="微软雅黑"/>
          <w:sz w:val="22"/>
          <w:szCs w:val="22"/>
        </w:rPr>
        <w:t>该产品支持堆叠功能，允许将多个设备虚拟化为单个逻辑实体。这不仅促进了端口和交换容量的扩展，而且实现了跨设备的统一管理、升级和维护。它还可以支持静态数据包采样、SFLOW功能、多端口镜像分析功能、静态和灵活的QinQ功能、以太网OAM 802.3ag（CFM）、802.3ah（EFM）、基于策略的IPV4/6单播路由和灵活的转发策略。</w:t>
      </w:r>
    </w:p>
    <w:p w14:paraId="242B78FF">
      <w:pPr>
        <w:pStyle w:val="4"/>
        <w:spacing w:line="240" w:lineRule="auto"/>
        <w:rPr>
          <w:rFonts w:hint="eastAsia" w:ascii="微软雅黑" w:hAnsi="微软雅黑" w:eastAsia="微软雅黑" w:cs="微软雅黑"/>
          <w:b/>
          <w:bCs/>
          <w:color w:val="0070C0"/>
          <w:sz w:val="40"/>
          <w:szCs w:val="40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40"/>
          <w:szCs w:val="40"/>
          <w:u w:val="none"/>
          <w:lang w:val="en-US" w:eastAsia="zh-CN"/>
        </w:rPr>
        <w:t>特点：</w:t>
      </w:r>
    </w:p>
    <w:p w14:paraId="55C7FB0D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堆叠</w:t>
      </w:r>
    </w:p>
    <w:p w14:paraId="73F710C3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最大支持8台设备堆叠</w:t>
      </w:r>
    </w:p>
    <w:p w14:paraId="684B1062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支持堆叠设备统一管理</w:t>
      </w:r>
    </w:p>
    <w:p w14:paraId="22C07012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支持堆叠设备的冗余</w:t>
      </w:r>
    </w:p>
    <w:p w14:paraId="28431E94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支持堆叠设备间高速互连</w:t>
      </w:r>
    </w:p>
    <w:p w14:paraId="31F8E00B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电信级设备稳定性</w:t>
      </w:r>
    </w:p>
    <w:p w14:paraId="33B7DC64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支持基于Linux操作系统的IPv4/IPv6双协议栈平台</w:t>
      </w:r>
    </w:p>
    <w:p w14:paraId="0F7742EE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 xml:space="preserve">支持STP/RSTP/MSTP/ERPS/LACP等多种链路冗余和网络冗余协议 </w:t>
      </w:r>
    </w:p>
    <w:p w14:paraId="6D4F6173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强大的QoS能力</w:t>
      </w:r>
    </w:p>
    <w:p w14:paraId="195A7370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支持端口限速、流量限速功能</w:t>
      </w:r>
    </w:p>
    <w:p w14:paraId="3E0B5080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支持基于业务流分类及QoS流控功能</w:t>
      </w:r>
    </w:p>
    <w:p w14:paraId="531C1CE9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支持SP/WRR/SP+WRR等队列调度算法</w:t>
      </w:r>
    </w:p>
    <w:p w14:paraId="788DEB63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支持基于端口、基于业务流的镜像功能</w:t>
      </w:r>
    </w:p>
    <w:p w14:paraId="778C1F83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微软雅黑" w:hAnsi="微软雅黑" w:eastAsia="微软雅黑"/>
          <w:sz w:val="20"/>
          <w:szCs w:val="20"/>
        </w:rPr>
      </w:pPr>
    </w:p>
    <w:p w14:paraId="55A1C9D1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增强的多服务能力</w:t>
      </w:r>
    </w:p>
    <w:p w14:paraId="3AC8400D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bookmarkStart w:id="0" w:name="OLE_LINK5"/>
      <w:r>
        <w:rPr>
          <w:rFonts w:hint="eastAsia" w:ascii="微软雅黑" w:hAnsi="微软雅黑" w:eastAsia="微软雅黑"/>
          <w:sz w:val="20"/>
          <w:szCs w:val="20"/>
        </w:rPr>
        <w:t>支持DHCP服务器和DHCP中继</w:t>
      </w:r>
    </w:p>
    <w:p w14:paraId="2F4E067E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 L2-Tunnel</w:t>
      </w:r>
    </w:p>
    <w:bookmarkEnd w:id="0"/>
    <w:p w14:paraId="648B38CA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支持以太网OAM协议（CFM / EFM）</w:t>
      </w:r>
    </w:p>
    <w:p w14:paraId="4C0E99FD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丰富的路由协议</w:t>
      </w:r>
    </w:p>
    <w:p w14:paraId="67365B5F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支持静态路由</w:t>
      </w:r>
    </w:p>
    <w:p w14:paraId="2B5C2AE6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支持RIP / OSPF / BGP / ISIS</w:t>
      </w:r>
    </w:p>
    <w:p w14:paraId="09E675CD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支持IPV4/IPV6双栈协议</w:t>
      </w:r>
    </w:p>
    <w:p w14:paraId="2165755D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支持RIPng / OSPFv3</w:t>
      </w:r>
    </w:p>
    <w:p w14:paraId="4C54447B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完善的安全机制</w:t>
      </w:r>
    </w:p>
    <w:p w14:paraId="57D3F867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支持ACL安全过滤机制，可提供基于MAC、IP、L4端口的安全控制功能</w:t>
      </w:r>
    </w:p>
    <w:p w14:paraId="79ED5976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支持ARP攻击自动防护及用户阻断功能</w:t>
      </w:r>
    </w:p>
    <w:p w14:paraId="218E001A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支持基于Mac Address的DHCP攻击自动防护及用户阻断功能</w:t>
      </w:r>
    </w:p>
    <w:p w14:paraId="5FA69F37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支持DHCP-snooping/IP-source-Guard/802.1X等安全功能</w:t>
      </w:r>
    </w:p>
    <w:p w14:paraId="1636DC8C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支持BFD、FlexLink、LACP等链路保护功能</w:t>
      </w:r>
    </w:p>
    <w:p w14:paraId="51B798FC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支持远程环路检测功能</w:t>
      </w:r>
    </w:p>
    <w:p w14:paraId="1F24C65E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支持基于TACACS+、Radius的远程用户认证，以及本地用户认证</w:t>
      </w:r>
    </w:p>
    <w:p w14:paraId="60DACBA1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简单易用的网络管理功能</w:t>
      </w:r>
    </w:p>
    <w:p w14:paraId="44C2C444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支持基于RS232串口的CLI、Telnet和SSHv2</w:t>
      </w:r>
    </w:p>
    <w:p w14:paraId="7EF04A4D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支持基于WEB的配置操作管理，支持SNMP V1/V2/V3</w:t>
      </w:r>
    </w:p>
    <w:p w14:paraId="635F77DD"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Chars="0"/>
        <w:textAlignment w:val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支持通过FTP、TFTP进行远程升级或设备</w:t>
      </w:r>
    </w:p>
    <w:p w14:paraId="0B8E7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u w:val="none"/>
          <w:lang w:val="en-US" w:eastAsia="zh-CN"/>
        </w:rPr>
      </w:pPr>
    </w:p>
    <w:p w14:paraId="3186498A">
      <w:pPr>
        <w:pStyle w:val="4"/>
        <w:spacing w:line="240" w:lineRule="auto"/>
        <w:rPr>
          <w:rFonts w:hint="eastAsia" w:ascii="微软雅黑" w:hAnsi="微软雅黑" w:eastAsia="微软雅黑" w:cs="微软雅黑"/>
          <w:b/>
          <w:bCs/>
          <w:color w:val="0070C0"/>
          <w:sz w:val="40"/>
          <w:szCs w:val="40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40"/>
          <w:szCs w:val="40"/>
          <w:u w:val="none"/>
          <w:lang w:val="en-US" w:eastAsia="zh-CN"/>
        </w:rPr>
        <w:t>详情：</w:t>
      </w:r>
    </w:p>
    <w:tbl>
      <w:tblPr>
        <w:tblStyle w:val="8"/>
        <w:tblpPr w:leftFromText="180" w:rightFromText="180" w:vertAnchor="text" w:horzAnchor="page" w:tblpX="1781" w:tblpY="1471"/>
        <w:tblOverlap w:val="never"/>
        <w:tblW w:w="9557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329"/>
        <w:gridCol w:w="1329"/>
        <w:gridCol w:w="5357"/>
      </w:tblGrid>
      <w:tr w14:paraId="47247B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noWrap w:val="0"/>
            <w:vAlign w:val="center"/>
          </w:tcPr>
          <w:p w14:paraId="11578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指示灯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noWrap w:val="0"/>
            <w:vAlign w:val="center"/>
          </w:tcPr>
          <w:p w14:paraId="3B3D7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颜色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noWrap w:val="0"/>
            <w:vAlign w:val="center"/>
          </w:tcPr>
          <w:p w14:paraId="39BFC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状态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0C0"/>
            <w:noWrap w:val="0"/>
            <w:vAlign w:val="center"/>
          </w:tcPr>
          <w:p w14:paraId="34A8F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描述说明</w:t>
            </w:r>
          </w:p>
        </w:tc>
      </w:tr>
      <w:tr w14:paraId="300C9D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9D50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PWR</w:t>
            </w:r>
          </w:p>
        </w:tc>
        <w:tc>
          <w:tcPr>
            <w:tcW w:w="13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33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绿色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6CA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常亮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71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设备以上电</w:t>
            </w:r>
          </w:p>
        </w:tc>
      </w:tr>
      <w:tr w14:paraId="285B71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5CB1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9E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D3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不亮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7A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设备未上电</w:t>
            </w:r>
          </w:p>
        </w:tc>
      </w:tr>
      <w:tr w14:paraId="27AB83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821F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SYS</w:t>
            </w:r>
          </w:p>
        </w:tc>
        <w:tc>
          <w:tcPr>
            <w:tcW w:w="13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54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绿色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6A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OFF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6A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设备未运行或未上电。</w:t>
            </w:r>
          </w:p>
        </w:tc>
      </w:tr>
      <w:tr w14:paraId="408D2F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E05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66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B0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闪烁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08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设备运行正常</w:t>
            </w:r>
          </w:p>
        </w:tc>
      </w:tr>
      <w:tr w14:paraId="4969DC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B66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ALARM</w:t>
            </w:r>
          </w:p>
        </w:tc>
        <w:tc>
          <w:tcPr>
            <w:tcW w:w="13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3D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红色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BD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ON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A4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风扇或电源模块异常</w:t>
            </w:r>
          </w:p>
        </w:tc>
      </w:tr>
      <w:tr w14:paraId="4B4D08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CF17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16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7A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OFF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85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各组件工作正常</w:t>
            </w:r>
          </w:p>
        </w:tc>
      </w:tr>
      <w:tr w14:paraId="5042D6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1C94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GE/SFP Port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BF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绿色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C6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常亮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5D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链路正确连接（连接起来），并在千兆模式下工作</w:t>
            </w:r>
          </w:p>
        </w:tc>
      </w:tr>
      <w:tr w14:paraId="5A373A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BFD2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5A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F8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不亮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5A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连接断开</w:t>
            </w:r>
          </w:p>
        </w:tc>
      </w:tr>
      <w:tr w14:paraId="59752A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AB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04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橙色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35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闪烁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AD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 xml:space="preserve">链路连接正常，工作在10/100Mbps模式下 </w:t>
            </w:r>
          </w:p>
        </w:tc>
      </w:tr>
    </w:tbl>
    <w:p w14:paraId="389D1BB1">
      <w:pPr>
        <w:pStyle w:val="2"/>
        <w:numPr>
          <w:ilvl w:val="0"/>
          <w:numId w:val="3"/>
        </w:numPr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指示灯定义:</w:t>
      </w:r>
    </w:p>
    <w:p w14:paraId="4D4F1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微软雅黑" w:hAnsi="微软雅黑" w:eastAsia="微软雅黑" w:cs="微软雅黑"/>
          <w:b/>
          <w:bCs/>
          <w:color w:val="0070C0"/>
          <w:sz w:val="21"/>
          <w:szCs w:val="21"/>
          <w:u w:val="none"/>
          <w:lang w:val="en-US" w:eastAsia="zh-CN"/>
        </w:rPr>
      </w:pPr>
    </w:p>
    <w:p w14:paraId="5D5CB95F">
      <w:pPr>
        <w:pStyle w:val="2"/>
        <w:numPr>
          <w:ilvl w:val="0"/>
          <w:numId w:val="3"/>
        </w:numPr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产品规格：</w:t>
      </w:r>
    </w:p>
    <w:tbl>
      <w:tblPr>
        <w:tblStyle w:val="9"/>
        <w:tblW w:w="8777" w:type="dxa"/>
        <w:tblInd w:w="-2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6451"/>
      </w:tblGrid>
      <w:tr w14:paraId="5991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  <w:gridSpan w:val="2"/>
            <w:shd w:val="clear" w:color="auto" w:fill="0070C0"/>
          </w:tcPr>
          <w:p w14:paraId="17AA5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硬件规格</w:t>
            </w:r>
          </w:p>
        </w:tc>
      </w:tr>
      <w:tr w14:paraId="3F511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504CE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  <w:szCs w:val="20"/>
                <w:lang w:val="en-US" w:eastAsia="zh-CN"/>
              </w:rPr>
              <w:t>按键</w:t>
            </w:r>
          </w:p>
        </w:tc>
        <w:tc>
          <w:tcPr>
            <w:tcW w:w="6451" w:type="dxa"/>
            <w:vAlign w:val="center"/>
          </w:tcPr>
          <w:p w14:paraId="28B68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1*Reset</w:t>
            </w:r>
          </w:p>
        </w:tc>
      </w:tr>
      <w:tr w14:paraId="69A48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6F6D8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  <w:szCs w:val="20"/>
                <w:lang w:val="en-US" w:eastAsia="zh-CN"/>
              </w:rPr>
              <w:t>端口</w:t>
            </w:r>
          </w:p>
        </w:tc>
        <w:tc>
          <w:tcPr>
            <w:tcW w:w="6451" w:type="dxa"/>
            <w:vAlign w:val="center"/>
          </w:tcPr>
          <w:p w14:paraId="3C409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24*10/100/1000M Base-T, 4*1000M Base-X SFP/10GE SFP+</w:t>
            </w:r>
          </w:p>
        </w:tc>
      </w:tr>
      <w:tr w14:paraId="37EC3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04A7D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转发模式</w:t>
            </w:r>
          </w:p>
        </w:tc>
        <w:tc>
          <w:tcPr>
            <w:tcW w:w="6451" w:type="dxa"/>
            <w:vAlign w:val="center"/>
          </w:tcPr>
          <w:p w14:paraId="6BBD6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存储转发</w:t>
            </w:r>
          </w:p>
        </w:tc>
      </w:tr>
      <w:tr w14:paraId="1C5CE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738E2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交换机容量</w:t>
            </w:r>
          </w:p>
        </w:tc>
        <w:tc>
          <w:tcPr>
            <w:tcW w:w="6451" w:type="dxa"/>
            <w:vAlign w:val="center"/>
          </w:tcPr>
          <w:p w14:paraId="7E447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592Gbps</w:t>
            </w:r>
          </w:p>
        </w:tc>
      </w:tr>
      <w:tr w14:paraId="18B1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640C5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整机包转发率</w:t>
            </w:r>
          </w:p>
        </w:tc>
        <w:tc>
          <w:tcPr>
            <w:tcW w:w="6451" w:type="dxa"/>
            <w:vAlign w:val="center"/>
          </w:tcPr>
          <w:p w14:paraId="594EB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144Mpps</w:t>
            </w:r>
          </w:p>
        </w:tc>
      </w:tr>
      <w:tr w14:paraId="1B724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4DF1E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MAC地址表</w:t>
            </w:r>
          </w:p>
        </w:tc>
        <w:tc>
          <w:tcPr>
            <w:tcW w:w="6451" w:type="dxa"/>
            <w:vAlign w:val="center"/>
          </w:tcPr>
          <w:p w14:paraId="40D22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16K</w:t>
            </w:r>
          </w:p>
        </w:tc>
      </w:tr>
      <w:tr w14:paraId="3E571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46E2B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ARP表</w:t>
            </w:r>
          </w:p>
        </w:tc>
        <w:tc>
          <w:tcPr>
            <w:tcW w:w="6451" w:type="dxa"/>
            <w:vAlign w:val="center"/>
          </w:tcPr>
          <w:p w14:paraId="45305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2K</w:t>
            </w:r>
          </w:p>
        </w:tc>
      </w:tr>
      <w:tr w14:paraId="37C7D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612E8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组播地址</w:t>
            </w:r>
          </w:p>
        </w:tc>
        <w:tc>
          <w:tcPr>
            <w:tcW w:w="6451" w:type="dxa"/>
            <w:vAlign w:val="center"/>
          </w:tcPr>
          <w:p w14:paraId="47D59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1K</w:t>
            </w:r>
          </w:p>
        </w:tc>
      </w:tr>
      <w:tr w14:paraId="5554B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0A72E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路由表</w:t>
            </w:r>
          </w:p>
        </w:tc>
        <w:tc>
          <w:tcPr>
            <w:tcW w:w="6451" w:type="dxa"/>
            <w:vAlign w:val="center"/>
          </w:tcPr>
          <w:p w14:paraId="3D2E9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512</w:t>
            </w:r>
          </w:p>
        </w:tc>
      </w:tr>
      <w:tr w14:paraId="67BC5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272F8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整机带终端数推荐</w:t>
            </w:r>
          </w:p>
        </w:tc>
        <w:tc>
          <w:tcPr>
            <w:tcW w:w="6451" w:type="dxa"/>
            <w:vAlign w:val="center"/>
          </w:tcPr>
          <w:p w14:paraId="1C955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600</w:t>
            </w:r>
          </w:p>
        </w:tc>
      </w:tr>
      <w:tr w14:paraId="1C75E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53B00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监控摄像头数量推荐</w:t>
            </w:r>
          </w:p>
        </w:tc>
        <w:tc>
          <w:tcPr>
            <w:tcW w:w="6451" w:type="dxa"/>
            <w:vAlign w:val="center"/>
          </w:tcPr>
          <w:p w14:paraId="0E711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400W H265：150；200W H265:300</w:t>
            </w:r>
            <w:bookmarkStart w:id="1" w:name="_GoBack"/>
            <w:bookmarkEnd w:id="1"/>
          </w:p>
        </w:tc>
      </w:tr>
      <w:tr w14:paraId="00A23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71962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  <w:szCs w:val="20"/>
              </w:rPr>
              <w:t>电源</w:t>
            </w:r>
          </w:p>
        </w:tc>
        <w:tc>
          <w:tcPr>
            <w:tcW w:w="6451" w:type="dxa"/>
            <w:vAlign w:val="center"/>
          </w:tcPr>
          <w:p w14:paraId="6B830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100-240V~ 50/60Hz</w:t>
            </w:r>
          </w:p>
        </w:tc>
      </w:tr>
      <w:tr w14:paraId="7A218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  <w:gridSpan w:val="2"/>
            <w:shd w:val="clear" w:color="auto" w:fill="0070C0"/>
          </w:tcPr>
          <w:p w14:paraId="74544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FFFF" w:themeColor="background1"/>
                <w:sz w:val="20"/>
                <w:szCs w:val="20"/>
                <w:vertAlign w:val="baseli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软件规格</w:t>
            </w:r>
          </w:p>
        </w:tc>
      </w:tr>
      <w:tr w14:paraId="03408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0A5A3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VLAN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2F14E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支持4K VLAN</w:t>
            </w:r>
          </w:p>
          <w:p w14:paraId="5BDCE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支持基于端口、MAC和协议的VLAN</w:t>
            </w:r>
          </w:p>
          <w:p w14:paraId="365DB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支持基于端口的静态QinQ和灵活QinQ</w:t>
            </w:r>
          </w:p>
          <w:p w14:paraId="6D86F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支持Access/Trunk/Hybrid模式</w:t>
            </w:r>
          </w:p>
          <w:p w14:paraId="1121C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支持VLAN转换</w:t>
            </w:r>
          </w:p>
        </w:tc>
      </w:tr>
      <w:tr w14:paraId="36A9F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1A2D7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Ethernet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6E874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支持9K巨型帧</w:t>
            </w:r>
          </w:p>
          <w:p w14:paraId="71E47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支持端口启用/禁用</w:t>
            </w:r>
          </w:p>
        </w:tc>
      </w:tr>
      <w:tr w14:paraId="7B185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6552D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堆叠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65C15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最大支持8台设备堆叠</w:t>
            </w:r>
          </w:p>
          <w:p w14:paraId="0C110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支持堆叠设备统一管理</w:t>
            </w:r>
          </w:p>
          <w:p w14:paraId="1B0F3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支持堆叠设备的冗余</w:t>
            </w:r>
          </w:p>
          <w:p w14:paraId="71A59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支持堆叠设备间高速互连</w:t>
            </w:r>
          </w:p>
        </w:tc>
      </w:tr>
      <w:tr w14:paraId="642C6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2CF5D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MAC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0075C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支持静态MAC地址设置</w:t>
            </w:r>
          </w:p>
          <w:p w14:paraId="58C27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支持黑洞MAC地址过滤</w:t>
            </w:r>
          </w:p>
          <w:p w14:paraId="59C4E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支持端口MAC地址限制</w:t>
            </w:r>
          </w:p>
          <w:p w14:paraId="340F3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MAC地址自动学习和老化</w:t>
            </w:r>
          </w:p>
        </w:tc>
      </w:tr>
      <w:tr w14:paraId="6C20F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4BD68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800080"/>
                <w:kern w:val="2"/>
                <w:sz w:val="20"/>
                <w:szCs w:val="20"/>
                <w:u w:val="singl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ARP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177FF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支持静态和动态ARP</w:t>
            </w:r>
          </w:p>
          <w:p w14:paraId="72021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支持ARP表项的老化</w:t>
            </w:r>
          </w:p>
          <w:p w14:paraId="65795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支持ARP代理</w:t>
            </w:r>
          </w:p>
        </w:tc>
      </w:tr>
      <w:tr w14:paraId="57138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1E228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端口控制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6151B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支持双向带宽控制</w:t>
            </w:r>
          </w:p>
          <w:p w14:paraId="47BD8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支持端口风暴抑制</w:t>
            </w:r>
          </w:p>
        </w:tc>
      </w:tr>
      <w:tr w14:paraId="05B8C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70EBC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链路聚合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50693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支持支持静态链路聚合</w:t>
            </w:r>
          </w:p>
          <w:p w14:paraId="6BDC6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支持支持动态LACP</w:t>
            </w:r>
          </w:p>
          <w:p w14:paraId="23324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每个聚合组最多支持8个端口</w:t>
            </w:r>
          </w:p>
          <w:p w14:paraId="1250C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支持多种负载均衡策略</w:t>
            </w:r>
          </w:p>
        </w:tc>
      </w:tr>
      <w:tr w14:paraId="3D21E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07D02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镜像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23BF7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支持端口镜像</w:t>
            </w:r>
          </w:p>
          <w:p w14:paraId="44143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支持流镜像</w:t>
            </w:r>
          </w:p>
          <w:p w14:paraId="733E8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支持多目标镜像（M:N）</w:t>
            </w:r>
          </w:p>
        </w:tc>
      </w:tr>
      <w:tr w14:paraId="6CBA3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5AF28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ACL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31AE0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 xml:space="preserve">支持标准和扩展访问控制列表（ACL）  </w:t>
            </w:r>
          </w:p>
          <w:p w14:paraId="5634D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 xml:space="preserve">支持基于时间段的ACL策略  </w:t>
            </w:r>
          </w:p>
          <w:p w14:paraId="07448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支持基于IP头信息的流分类和流定义，例如源/目标MAC地址、VLAN、802.1p、服务类型（ToS）、差分服务代码点（DSCP）、源/目标IP地址、L4端口号、协议类型等</w:t>
            </w:r>
          </w:p>
        </w:tc>
      </w:tr>
      <w:tr w14:paraId="2803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2EDB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QoS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41902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支持基于COS/DSCP进行流量分类（简单分类）</w:t>
            </w:r>
          </w:p>
          <w:p w14:paraId="1AD6E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支持基于ACL的流量分类（复杂分类）</w:t>
            </w:r>
          </w:p>
          <w:p w14:paraId="3F6C0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支持隧道数据包内层报头进行流量分类</w:t>
            </w:r>
          </w:p>
          <w:p w14:paraId="2DF3E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支持队列调度</w:t>
            </w:r>
          </w:p>
          <w:p w14:paraId="5A701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支持根据ACL标记数据包的优先级字段（COS/DSCP）</w:t>
            </w:r>
          </w:p>
          <w:p w14:paraId="65900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支持流量重定向</w:t>
            </w:r>
          </w:p>
          <w:p w14:paraId="25D30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支持基于端口（进/出）的流量监管</w:t>
            </w:r>
          </w:p>
          <w:p w14:paraId="1FB98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支持基于VLAN（入/出）的流量监管</w:t>
            </w:r>
          </w:p>
          <w:p w14:paraId="64209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支持基于流量方向（入/出）进行流量监管</w:t>
            </w:r>
          </w:p>
          <w:p w14:paraId="31B47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支持基于聚合流方向（流入/流出）进行流量监管</w:t>
            </w:r>
          </w:p>
          <w:p w14:paraId="7C862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支持基于队列的流量整形</w:t>
            </w:r>
          </w:p>
          <w:p w14:paraId="52B4F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支持基于端口的流量整形</w:t>
            </w:r>
          </w:p>
          <w:p w14:paraId="58DD0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支持SP（严格优先级）调度</w:t>
            </w:r>
          </w:p>
          <w:p w14:paraId="238D1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支持WRR（加权循环）调度</w:t>
            </w:r>
          </w:p>
          <w:p w14:paraId="5278E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支持SP+WRR混合调度</w:t>
            </w:r>
          </w:p>
        </w:tc>
      </w:tr>
      <w:tr w14:paraId="57492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7A062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安全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2F358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支持用户分级管理和密码保护</w:t>
            </w:r>
          </w:p>
          <w:p w14:paraId="72C42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支持IEEE 802.1X认证</w:t>
            </w:r>
          </w:p>
          <w:p w14:paraId="4BD23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支持Radius和TACACS+认证</w:t>
            </w:r>
          </w:p>
          <w:p w14:paraId="6BD3D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支持MAC地址学习限制，支持黑洞MAC功能</w:t>
            </w:r>
          </w:p>
          <w:p w14:paraId="4A5FD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支持端口隔离</w:t>
            </w:r>
          </w:p>
          <w:p w14:paraId="2D009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支持广播消息速率抑制</w:t>
            </w:r>
          </w:p>
          <w:p w14:paraId="28A78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支持IP Source Guard</w:t>
            </w:r>
          </w:p>
          <w:p w14:paraId="56A8F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 xml:space="preserve">支持ARP泛洪抑制和ARP欺骗防护 </w:t>
            </w:r>
          </w:p>
        </w:tc>
      </w:tr>
      <w:tr w14:paraId="4CDBF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02D3A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三层功能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4D9B7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支持ARP学习和老化</w:t>
            </w:r>
          </w:p>
          <w:p w14:paraId="2C7CD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支持IPv4/IPv6静态路由</w:t>
            </w:r>
          </w:p>
          <w:p w14:paraId="06D0C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支持动态路由RIP/OSPF/BGP</w:t>
            </w:r>
          </w:p>
          <w:p w14:paraId="4D2D7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支持IPv4/IPv6双栈平台</w:t>
            </w:r>
          </w:p>
        </w:tc>
      </w:tr>
      <w:tr w14:paraId="62870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28C1D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维护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0E04C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支持每个功能模块的调试功能</w:t>
            </w:r>
          </w:p>
          <w:p w14:paraId="3DCED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支持CPU占用率显示及告警</w:t>
            </w:r>
          </w:p>
          <w:p w14:paraId="40E7F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支持内存使用情况显示及告警</w:t>
            </w:r>
          </w:p>
          <w:p w14:paraId="4645E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支持设备温度、电源、风扇、状态显示及告警</w:t>
            </w:r>
          </w:p>
          <w:p w14:paraId="2600D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支持查看用户操作日志</w:t>
            </w:r>
          </w:p>
          <w:p w14:paraId="4F7B3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支持日志、告警和调试信息的管理</w:t>
            </w:r>
          </w:p>
          <w:p w14:paraId="7A535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支持详细诊断信息收集</w:t>
            </w:r>
          </w:p>
          <w:p w14:paraId="641C0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支持手动/计划重启设备</w:t>
            </w:r>
          </w:p>
          <w:p w14:paraId="753B8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支持设备重启信息记录</w:t>
            </w:r>
          </w:p>
          <w:p w14:paraId="16315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支持IPv4/IPv6 PING功能</w:t>
            </w:r>
          </w:p>
          <w:p w14:paraId="66A7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支持Trace route功能</w:t>
            </w:r>
          </w:p>
          <w:p w14:paraId="75764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支持查看CPU收发数据包统计</w:t>
            </w:r>
          </w:p>
          <w:p w14:paraId="2FCE6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支持时间/时区配置</w:t>
            </w:r>
          </w:p>
        </w:tc>
      </w:tr>
      <w:tr w14:paraId="19BDA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75D94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系统安全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56E28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支持SSHv1/v2</w:t>
            </w:r>
          </w:p>
          <w:p w14:paraId="53D3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支持基于端口的802.1X功能</w:t>
            </w:r>
          </w:p>
          <w:p w14:paraId="75524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支持基于MAC的802.1X功能</w:t>
            </w:r>
          </w:p>
          <w:p w14:paraId="25D54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支持基于端口的MAC地址限制</w:t>
            </w:r>
          </w:p>
          <w:p w14:paraId="0DDDA995">
            <w:pPr>
              <w:keepNext w:val="0"/>
              <w:keepLines w:val="0"/>
              <w:pageBreakBefore w:val="0"/>
              <w:widowControl w:val="0"/>
              <w:tabs>
                <w:tab w:val="center" w:pos="37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支持CPU限速</w:t>
            </w:r>
          </w:p>
          <w:p w14:paraId="04E7D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支持CLI/WEB/SNMP/Telnet/SSH用户过滤</w:t>
            </w:r>
          </w:p>
        </w:tc>
      </w:tr>
      <w:tr w14:paraId="11DA7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77E08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生成树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0EC08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支持STP功能</w:t>
            </w:r>
          </w:p>
          <w:p w14:paraId="5B59A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支持RSTP功能</w:t>
            </w:r>
          </w:p>
          <w:p w14:paraId="083F5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支持MSTP功能</w:t>
            </w:r>
          </w:p>
          <w:p w14:paraId="6B64F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支持远端环路检测功能</w:t>
            </w:r>
          </w:p>
        </w:tc>
      </w:tr>
      <w:tr w14:paraId="3E699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7AEDE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网络管理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039DB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支持DHCPv4服务器</w:t>
            </w:r>
          </w:p>
          <w:p w14:paraId="29517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支持DHCP中继</w:t>
            </w:r>
          </w:p>
          <w:p w14:paraId="2D889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支持DHCP侦听</w:t>
            </w:r>
          </w:p>
          <w:p w14:paraId="42746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支持DHCP OPTION 60</w:t>
            </w:r>
          </w:p>
          <w:p w14:paraId="353D7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支持DHCP OPTION 82</w:t>
            </w:r>
          </w:p>
          <w:p w14:paraId="0B9A1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支持SNTP 简单网络时间协议</w:t>
            </w:r>
          </w:p>
          <w:p w14:paraId="05037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支持LLDP链路层发现协议</w:t>
            </w:r>
          </w:p>
        </w:tc>
      </w:tr>
      <w:tr w14:paraId="4BCBD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4026B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配置管理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25458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支持带内管理界面及配置</w:t>
            </w:r>
          </w:p>
          <w:p w14:paraId="0D77F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支持特权用户优先级和特权命令</w:t>
            </w:r>
          </w:p>
          <w:p w14:paraId="3B03E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支持基于SNMPv1/v2c/v3的网络管理</w:t>
            </w:r>
          </w:p>
          <w:p w14:paraId="79137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支持公共和私有 MIB</w:t>
            </w:r>
          </w:p>
          <w:p w14:paraId="3FB9B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支持公共和私有 Trap</w:t>
            </w:r>
          </w:p>
          <w:p w14:paraId="5208E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支持基于WEB的配置管理</w:t>
            </w:r>
          </w:p>
          <w:p w14:paraId="2C0F5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支持恢复默认配置</w:t>
            </w:r>
          </w:p>
        </w:tc>
      </w:tr>
      <w:tr w14:paraId="44A6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11365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系统管理</w:t>
            </w:r>
          </w:p>
        </w:tc>
        <w:tc>
          <w:tcPr>
            <w:tcW w:w="6451" w:type="dxa"/>
            <w:shd w:val="clear" w:color="auto" w:fill="auto"/>
            <w:vAlign w:val="top"/>
          </w:tcPr>
          <w:p w14:paraId="515E6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支持通过FTP或TFTP上传和下载文件</w:t>
            </w:r>
          </w:p>
          <w:p w14:paraId="56132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支持通过X-modem上传、下载文件</w:t>
            </w:r>
          </w:p>
          <w:p w14:paraId="0E968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 802.3ah 以太网OAM</w:t>
            </w:r>
          </w:p>
          <w:p w14:paraId="75E59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支持基于WEB页面的配置管理</w:t>
            </w:r>
          </w:p>
          <w:p w14:paraId="1115C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支持整机断电报警功能</w:t>
            </w:r>
          </w:p>
        </w:tc>
      </w:tr>
      <w:tr w14:paraId="2E7E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50FE6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  <w:t>固件升级</w:t>
            </w:r>
          </w:p>
        </w:tc>
        <w:tc>
          <w:tcPr>
            <w:tcW w:w="6451" w:type="dxa"/>
            <w:shd w:val="clear" w:color="auto" w:fill="auto"/>
            <w:vAlign w:val="top"/>
          </w:tcPr>
          <w:p w14:paraId="3BDBD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支持本地升级</w:t>
            </w:r>
          </w:p>
          <w:p w14:paraId="735CF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支持远程 TFTP/FTP升级</w:t>
            </w:r>
          </w:p>
          <w:p w14:paraId="5ABDD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支持远程WEB升级</w:t>
            </w:r>
          </w:p>
        </w:tc>
      </w:tr>
      <w:tr w14:paraId="287A7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  <w:gridSpan w:val="2"/>
            <w:shd w:val="clear" w:color="auto" w:fill="4874CB" w:themeFill="accent1"/>
            <w:vAlign w:val="center"/>
          </w:tcPr>
          <w:p w14:paraId="31EF0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环境要求</w:t>
            </w:r>
          </w:p>
        </w:tc>
      </w:tr>
      <w:tr w14:paraId="4C5B5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0E04E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温度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13447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工作温度：-10℃ 到 50℃ </w:t>
            </w:r>
          </w:p>
          <w:p w14:paraId="2D457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存储温度：-40℃ 到 70℃</w:t>
            </w:r>
          </w:p>
        </w:tc>
      </w:tr>
      <w:tr w14:paraId="43BB8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47095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湿度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7CBC4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工作湿度：5% 到 95% RH不凝结 </w:t>
            </w:r>
          </w:p>
          <w:p w14:paraId="04CE4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存储湿度：5% 到 95% RH不凝结</w:t>
            </w:r>
          </w:p>
        </w:tc>
      </w:tr>
      <w:tr w14:paraId="7326D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  <w:gridSpan w:val="2"/>
            <w:shd w:val="clear" w:color="auto" w:fill="4874CB" w:themeFill="accent1"/>
            <w:vAlign w:val="center"/>
          </w:tcPr>
          <w:p w14:paraId="0DD45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静电/防雷</w:t>
            </w:r>
          </w:p>
        </w:tc>
      </w:tr>
      <w:tr w14:paraId="4B109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6DED9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静电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5890B85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  <w:szCs w:val="20"/>
                <w:lang w:val="en-US" w:eastAsia="zh-CN"/>
              </w:rPr>
              <w:t>空气放电：15</w:t>
            </w:r>
            <w:r>
              <w:rPr>
                <w:rFonts w:hint="eastAsia" w:ascii="微软雅黑" w:hAnsi="微软雅黑" w:eastAsia="微软雅黑" w:cs="微软雅黑"/>
                <w:kern w:val="0"/>
                <w:sz w:val="20"/>
                <w:szCs w:val="20"/>
              </w:rPr>
              <w:t>KV</w:t>
            </w:r>
            <w:r>
              <w:rPr>
                <w:rFonts w:hint="eastAsia" w:ascii="微软雅黑" w:hAnsi="微软雅黑" w:eastAsia="微软雅黑" w:cs="微软雅黑"/>
                <w:kern w:val="0"/>
                <w:sz w:val="20"/>
                <w:szCs w:val="20"/>
                <w:lang w:val="en-US" w:eastAsia="zh-CN"/>
              </w:rPr>
              <w:t xml:space="preserve"> 接触放电：8Kv</w:t>
            </w:r>
          </w:p>
        </w:tc>
      </w:tr>
      <w:tr w14:paraId="6A453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2CB76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端口防雷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6663E19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  <w:szCs w:val="20"/>
                <w:lang w:val="en-US" w:eastAsia="zh-CN"/>
              </w:rPr>
              <w:t>共模6Kv</w:t>
            </w:r>
          </w:p>
        </w:tc>
      </w:tr>
      <w:tr w14:paraId="40067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  <w:gridSpan w:val="2"/>
            <w:shd w:val="clear" w:color="auto" w:fill="4874CB" w:themeFill="accent1"/>
            <w:vAlign w:val="center"/>
          </w:tcPr>
          <w:p w14:paraId="45B77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尺寸规格</w:t>
            </w:r>
          </w:p>
        </w:tc>
      </w:tr>
      <w:tr w14:paraId="7B1D8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42AF6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裸机(长 x 宽 x 高)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5BBBA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440X210X44mm</w:t>
            </w:r>
          </w:p>
        </w:tc>
      </w:tr>
      <w:tr w14:paraId="28136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  <w:gridSpan w:val="2"/>
            <w:shd w:val="clear" w:color="auto" w:fill="0070C0"/>
            <w:vAlign w:val="center"/>
          </w:tcPr>
          <w:p w14:paraId="6B017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其它</w:t>
            </w:r>
          </w:p>
        </w:tc>
      </w:tr>
      <w:tr w14:paraId="5752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7B218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注意事项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338C085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  <w:szCs w:val="20"/>
                <w:lang w:val="en-US" w:eastAsia="zh-CN"/>
              </w:rPr>
              <w:t>存储仓库应清洁、通风、无腐蚀气体、无易燃、易爆及其它腐蚀性化学物品。远离热源、强烈机械振动源。</w:t>
            </w:r>
          </w:p>
        </w:tc>
      </w:tr>
      <w:tr w14:paraId="26558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shd w:val="clear" w:color="auto" w:fill="auto"/>
            <w:vAlign w:val="center"/>
          </w:tcPr>
          <w:p w14:paraId="6EC6B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0"/>
                <w:szCs w:val="20"/>
                <w:lang w:val="en-US" w:eastAsia="zh-CN"/>
              </w:rPr>
              <w:t>存储周期</w:t>
            </w:r>
          </w:p>
        </w:tc>
        <w:tc>
          <w:tcPr>
            <w:tcW w:w="6451" w:type="dxa"/>
            <w:shd w:val="clear" w:color="auto" w:fill="auto"/>
            <w:vAlign w:val="center"/>
          </w:tcPr>
          <w:p w14:paraId="2360350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  <w:szCs w:val="20"/>
                <w:lang w:val="en-US" w:eastAsia="zh-CN"/>
              </w:rPr>
              <w:t>按以上要求合理存放可持续一年，满2年建议重新检验再使用</w:t>
            </w:r>
          </w:p>
        </w:tc>
      </w:tr>
    </w:tbl>
    <w:p w14:paraId="358D6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  <w:vertAlign w:val="baseli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EB5C34"/>
    <w:multiLevelType w:val="singleLevel"/>
    <w:tmpl w:val="9AEB5C3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ADC865E6"/>
    <w:multiLevelType w:val="singleLevel"/>
    <w:tmpl w:val="ADC865E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00000016"/>
    <w:multiLevelType w:val="multilevel"/>
    <w:tmpl w:val="00000016"/>
    <w:lvl w:ilvl="0" w:tentative="0">
      <w:start w:val="1"/>
      <w:numFmt w:val="none"/>
      <w:suff w:val="nothing"/>
      <w:lvlText w:val=""/>
      <w:lvlJc w:val="center"/>
      <w:pPr>
        <w:ind w:left="0" w:firstLine="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36"/>
        <w:vertAlign w:val="baseline"/>
      </w:rPr>
    </w:lvl>
    <w:lvl w:ilvl="1" w:tentative="0">
      <w:start w:val="1"/>
      <w:numFmt w:val="decimal"/>
      <w:suff w:val="nothing"/>
      <w:lvlText w:val="%1%2  "/>
      <w:lvlJc w:val="left"/>
      <w:pPr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2" w:tentative="0">
      <w:start w:val="1"/>
      <w:numFmt w:val="decimal"/>
      <w:suff w:val="nothing"/>
      <w:lvlText w:val="%1%2.%3  "/>
      <w:lvlJc w:val="left"/>
      <w:pPr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 w:tentative="0">
      <w:start w:val="1"/>
      <w:numFmt w:val="decimal"/>
      <w:suff w:val="nothing"/>
      <w:lvlText w:val="%4. "/>
      <w:lvlJc w:val="left"/>
      <w:pPr>
        <w:ind w:left="1701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1"/>
        <w:vertAlign w:val="baseline"/>
      </w:rPr>
    </w:lvl>
    <w:lvl w:ilvl="4" w:tentative="0">
      <w:start w:val="1"/>
      <w:numFmt w:val="decimal"/>
      <w:lvlRestart w:val="0"/>
      <w:suff w:val="space"/>
      <w:lvlText w:val="图%1%5"/>
      <w:lvlJc w:val="center"/>
      <w:pPr>
        <w:ind w:left="1701" w:firstLine="0"/>
      </w:pPr>
      <w:rPr>
        <w:rFonts w:hint="default" w:ascii="Arial" w:hAnsi="Arial"/>
      </w:rPr>
    </w:lvl>
    <w:lvl w:ilvl="5" w:tentative="0">
      <w:start w:val="1"/>
      <w:numFmt w:val="decimal"/>
      <w:lvlRestart w:val="0"/>
      <w:suff w:val="space"/>
      <w:lvlText w:val="表%1%6"/>
      <w:lvlJc w:val="center"/>
      <w:pPr>
        <w:ind w:left="1701" w:firstLine="0"/>
      </w:pPr>
      <w:rPr>
        <w:rFonts w:hint="default" w:ascii="Arial" w:hAnsi="Arial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lvlRestart w:val="0"/>
      <w:suff w:val="space"/>
      <w:lvlText w:val=""/>
      <w:lvlJc w:val="left"/>
      <w:pPr>
        <w:ind w:left="567" w:firstLine="1134"/>
      </w:pPr>
      <w:rPr>
        <w:rFonts w:hint="eastAsia"/>
      </w:rPr>
    </w:lvl>
    <w:lvl w:ilvl="8" w:tentative="0">
      <w:start w:val="1"/>
      <w:numFmt w:val="none"/>
      <w:lvlRestart w:val="0"/>
      <w:suff w:val="space"/>
      <w:lvlText w:val=""/>
      <w:lvlJc w:val="left"/>
      <w:pPr>
        <w:ind w:left="567" w:firstLine="1134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NDU5OWE0ODNlM2U0ZjhjOWJmNWFhZTU1ZDIyNGUifQ=="/>
  </w:docVars>
  <w:rsids>
    <w:rsidRoot w:val="00000000"/>
    <w:rsid w:val="00B578DB"/>
    <w:rsid w:val="01211AD4"/>
    <w:rsid w:val="016A6FD7"/>
    <w:rsid w:val="02317AF5"/>
    <w:rsid w:val="029D378E"/>
    <w:rsid w:val="03675EC4"/>
    <w:rsid w:val="03C85032"/>
    <w:rsid w:val="03D33559"/>
    <w:rsid w:val="04455AD9"/>
    <w:rsid w:val="045126D0"/>
    <w:rsid w:val="045775EC"/>
    <w:rsid w:val="04893C18"/>
    <w:rsid w:val="04A942BA"/>
    <w:rsid w:val="0511128E"/>
    <w:rsid w:val="064F2C3F"/>
    <w:rsid w:val="06F15AA5"/>
    <w:rsid w:val="06F832D7"/>
    <w:rsid w:val="07B92A66"/>
    <w:rsid w:val="080C2DE1"/>
    <w:rsid w:val="08CE0793"/>
    <w:rsid w:val="095C4350"/>
    <w:rsid w:val="096B5FE2"/>
    <w:rsid w:val="098E3A7F"/>
    <w:rsid w:val="0992356F"/>
    <w:rsid w:val="0A2C751F"/>
    <w:rsid w:val="0A456452"/>
    <w:rsid w:val="0A590531"/>
    <w:rsid w:val="0ADB2CF4"/>
    <w:rsid w:val="0B21104E"/>
    <w:rsid w:val="0B5707DD"/>
    <w:rsid w:val="0B723658"/>
    <w:rsid w:val="0BDA2FAB"/>
    <w:rsid w:val="0C087B18"/>
    <w:rsid w:val="0C791C96"/>
    <w:rsid w:val="0C825B1D"/>
    <w:rsid w:val="0C982640"/>
    <w:rsid w:val="0CB3217A"/>
    <w:rsid w:val="0CFA3905"/>
    <w:rsid w:val="0D120FE2"/>
    <w:rsid w:val="0D562B05"/>
    <w:rsid w:val="0DAE649D"/>
    <w:rsid w:val="0E820056"/>
    <w:rsid w:val="0F3330FE"/>
    <w:rsid w:val="0F59068B"/>
    <w:rsid w:val="0F6C4862"/>
    <w:rsid w:val="0FF30ADF"/>
    <w:rsid w:val="101A2510"/>
    <w:rsid w:val="10613C9B"/>
    <w:rsid w:val="10953945"/>
    <w:rsid w:val="109D6C74"/>
    <w:rsid w:val="10F7015B"/>
    <w:rsid w:val="11980148"/>
    <w:rsid w:val="11E15452"/>
    <w:rsid w:val="120421D1"/>
    <w:rsid w:val="12112615"/>
    <w:rsid w:val="12681311"/>
    <w:rsid w:val="127B54E8"/>
    <w:rsid w:val="129C0FBA"/>
    <w:rsid w:val="12C329EB"/>
    <w:rsid w:val="12ED1816"/>
    <w:rsid w:val="12F9465F"/>
    <w:rsid w:val="130152C1"/>
    <w:rsid w:val="13196AAF"/>
    <w:rsid w:val="13637D2A"/>
    <w:rsid w:val="136E36ED"/>
    <w:rsid w:val="13960DC8"/>
    <w:rsid w:val="13A2300B"/>
    <w:rsid w:val="13B32A60"/>
    <w:rsid w:val="13E52296"/>
    <w:rsid w:val="13ED7E8B"/>
    <w:rsid w:val="14F275B8"/>
    <w:rsid w:val="151827E2"/>
    <w:rsid w:val="15211C4B"/>
    <w:rsid w:val="1594066F"/>
    <w:rsid w:val="159B17AC"/>
    <w:rsid w:val="15A041A5"/>
    <w:rsid w:val="15A308B2"/>
    <w:rsid w:val="16173D8D"/>
    <w:rsid w:val="164107F7"/>
    <w:rsid w:val="16734728"/>
    <w:rsid w:val="16D64FF4"/>
    <w:rsid w:val="16DA0303"/>
    <w:rsid w:val="17A0554A"/>
    <w:rsid w:val="18197ECC"/>
    <w:rsid w:val="18506ACF"/>
    <w:rsid w:val="18514C97"/>
    <w:rsid w:val="18644328"/>
    <w:rsid w:val="18B232E6"/>
    <w:rsid w:val="18E67433"/>
    <w:rsid w:val="19186973"/>
    <w:rsid w:val="19CE05F3"/>
    <w:rsid w:val="19CF4DBB"/>
    <w:rsid w:val="1AAD645B"/>
    <w:rsid w:val="1AF44089"/>
    <w:rsid w:val="1BDB0DA5"/>
    <w:rsid w:val="1C0F0A4F"/>
    <w:rsid w:val="1C7525D3"/>
    <w:rsid w:val="1C874A89"/>
    <w:rsid w:val="1C964CCC"/>
    <w:rsid w:val="1CC17F9B"/>
    <w:rsid w:val="1CEB5018"/>
    <w:rsid w:val="1E5B63BB"/>
    <w:rsid w:val="1F6D440A"/>
    <w:rsid w:val="1FF16DE9"/>
    <w:rsid w:val="20541B4C"/>
    <w:rsid w:val="20653333"/>
    <w:rsid w:val="20B322F1"/>
    <w:rsid w:val="21660D50"/>
    <w:rsid w:val="226A69DF"/>
    <w:rsid w:val="22934188"/>
    <w:rsid w:val="22DA1DB7"/>
    <w:rsid w:val="23DC4E01"/>
    <w:rsid w:val="246833F2"/>
    <w:rsid w:val="24D6035C"/>
    <w:rsid w:val="24EC7B7F"/>
    <w:rsid w:val="254554E2"/>
    <w:rsid w:val="25F27417"/>
    <w:rsid w:val="262D7636"/>
    <w:rsid w:val="265F25D3"/>
    <w:rsid w:val="269E759F"/>
    <w:rsid w:val="26CD6818"/>
    <w:rsid w:val="26DC3C24"/>
    <w:rsid w:val="28013942"/>
    <w:rsid w:val="28B943FA"/>
    <w:rsid w:val="292C08EB"/>
    <w:rsid w:val="295D104C"/>
    <w:rsid w:val="29EE439A"/>
    <w:rsid w:val="29F6324E"/>
    <w:rsid w:val="2A2E5606"/>
    <w:rsid w:val="2A866380"/>
    <w:rsid w:val="2AC450FA"/>
    <w:rsid w:val="2AC5334C"/>
    <w:rsid w:val="2B5621F6"/>
    <w:rsid w:val="2B807273"/>
    <w:rsid w:val="2BBB02AC"/>
    <w:rsid w:val="2BEE10A7"/>
    <w:rsid w:val="2C8F75FD"/>
    <w:rsid w:val="2CDA0C05"/>
    <w:rsid w:val="2D2D6F87"/>
    <w:rsid w:val="2D5269EE"/>
    <w:rsid w:val="2E3B3926"/>
    <w:rsid w:val="2EBC4A66"/>
    <w:rsid w:val="2ED022C0"/>
    <w:rsid w:val="2FB15C4D"/>
    <w:rsid w:val="2FB219C5"/>
    <w:rsid w:val="2FCD67FF"/>
    <w:rsid w:val="2FDC5D4D"/>
    <w:rsid w:val="301F52AD"/>
    <w:rsid w:val="30B40786"/>
    <w:rsid w:val="30B654E5"/>
    <w:rsid w:val="30DB3873"/>
    <w:rsid w:val="31210BB1"/>
    <w:rsid w:val="3143321D"/>
    <w:rsid w:val="31BE28A4"/>
    <w:rsid w:val="323963CE"/>
    <w:rsid w:val="32FC7B27"/>
    <w:rsid w:val="33B45D0C"/>
    <w:rsid w:val="33DA14EB"/>
    <w:rsid w:val="34515C51"/>
    <w:rsid w:val="34A71D15"/>
    <w:rsid w:val="34CD768A"/>
    <w:rsid w:val="35B75F88"/>
    <w:rsid w:val="35E623C9"/>
    <w:rsid w:val="363B2715"/>
    <w:rsid w:val="36B349A1"/>
    <w:rsid w:val="37B87D95"/>
    <w:rsid w:val="37DE77FC"/>
    <w:rsid w:val="381B0A50"/>
    <w:rsid w:val="39423DBA"/>
    <w:rsid w:val="3A810912"/>
    <w:rsid w:val="3ABE1B66"/>
    <w:rsid w:val="3AEB3408"/>
    <w:rsid w:val="3AF41899"/>
    <w:rsid w:val="3B190B4B"/>
    <w:rsid w:val="3B471B5C"/>
    <w:rsid w:val="3BD258C9"/>
    <w:rsid w:val="3BF515B8"/>
    <w:rsid w:val="3C432323"/>
    <w:rsid w:val="3C485B8B"/>
    <w:rsid w:val="3CD63197"/>
    <w:rsid w:val="3D41657E"/>
    <w:rsid w:val="3D6407A3"/>
    <w:rsid w:val="3D864BBD"/>
    <w:rsid w:val="3DB50FFF"/>
    <w:rsid w:val="3E1C72D0"/>
    <w:rsid w:val="3E9F580B"/>
    <w:rsid w:val="3EAE5A4E"/>
    <w:rsid w:val="3F277CDA"/>
    <w:rsid w:val="3F552324"/>
    <w:rsid w:val="3FDD02E8"/>
    <w:rsid w:val="3FFA53EF"/>
    <w:rsid w:val="402A6B57"/>
    <w:rsid w:val="40645665"/>
    <w:rsid w:val="408847A8"/>
    <w:rsid w:val="409400E9"/>
    <w:rsid w:val="40A047AB"/>
    <w:rsid w:val="40A8280F"/>
    <w:rsid w:val="40DA6FCE"/>
    <w:rsid w:val="40E045E4"/>
    <w:rsid w:val="414A7CB0"/>
    <w:rsid w:val="417E7959"/>
    <w:rsid w:val="4182569C"/>
    <w:rsid w:val="430736E6"/>
    <w:rsid w:val="43163866"/>
    <w:rsid w:val="431C1B20"/>
    <w:rsid w:val="431E235B"/>
    <w:rsid w:val="438576C5"/>
    <w:rsid w:val="442B6582"/>
    <w:rsid w:val="447119F7"/>
    <w:rsid w:val="44867251"/>
    <w:rsid w:val="45232CF2"/>
    <w:rsid w:val="45795008"/>
    <w:rsid w:val="45D4223E"/>
    <w:rsid w:val="45F75F2C"/>
    <w:rsid w:val="46BD2CD2"/>
    <w:rsid w:val="46E26BDC"/>
    <w:rsid w:val="471263A9"/>
    <w:rsid w:val="475E6263"/>
    <w:rsid w:val="47930A9D"/>
    <w:rsid w:val="47D97FDF"/>
    <w:rsid w:val="480F3080"/>
    <w:rsid w:val="48671147"/>
    <w:rsid w:val="4AF40C8C"/>
    <w:rsid w:val="4B0215FB"/>
    <w:rsid w:val="4B050A17"/>
    <w:rsid w:val="4B2B4538"/>
    <w:rsid w:val="4B6825A0"/>
    <w:rsid w:val="4BA3693A"/>
    <w:rsid w:val="4BB02E05"/>
    <w:rsid w:val="4BDA4326"/>
    <w:rsid w:val="4BF17D81"/>
    <w:rsid w:val="4C2C4B82"/>
    <w:rsid w:val="4C3A6B73"/>
    <w:rsid w:val="4CCC0113"/>
    <w:rsid w:val="4CD15729"/>
    <w:rsid w:val="4CE76CFB"/>
    <w:rsid w:val="4D3E4E14"/>
    <w:rsid w:val="4E404914"/>
    <w:rsid w:val="4E6C395B"/>
    <w:rsid w:val="4E80203A"/>
    <w:rsid w:val="4EA824BA"/>
    <w:rsid w:val="4ECC61A8"/>
    <w:rsid w:val="4EEF00E8"/>
    <w:rsid w:val="4F310701"/>
    <w:rsid w:val="4F4F75DF"/>
    <w:rsid w:val="4FEB4D54"/>
    <w:rsid w:val="4FF82FCD"/>
    <w:rsid w:val="508E4A48"/>
    <w:rsid w:val="513F1604"/>
    <w:rsid w:val="51510BE7"/>
    <w:rsid w:val="517F560E"/>
    <w:rsid w:val="51CC64BF"/>
    <w:rsid w:val="52181704"/>
    <w:rsid w:val="524F15CA"/>
    <w:rsid w:val="52AD4542"/>
    <w:rsid w:val="531445C2"/>
    <w:rsid w:val="53AA5E8F"/>
    <w:rsid w:val="547E7F44"/>
    <w:rsid w:val="54B25E40"/>
    <w:rsid w:val="54EB1352"/>
    <w:rsid w:val="55AE2AAB"/>
    <w:rsid w:val="55E71E37"/>
    <w:rsid w:val="55F12998"/>
    <w:rsid w:val="565F7902"/>
    <w:rsid w:val="5660333F"/>
    <w:rsid w:val="56E322E1"/>
    <w:rsid w:val="56FE35BF"/>
    <w:rsid w:val="57266671"/>
    <w:rsid w:val="578A30A4"/>
    <w:rsid w:val="57A0137B"/>
    <w:rsid w:val="58320006"/>
    <w:rsid w:val="5870229A"/>
    <w:rsid w:val="594352B9"/>
    <w:rsid w:val="59CB7C49"/>
    <w:rsid w:val="59F12F67"/>
    <w:rsid w:val="59FD0920"/>
    <w:rsid w:val="5A5534F6"/>
    <w:rsid w:val="5B150ED7"/>
    <w:rsid w:val="5B5B46DE"/>
    <w:rsid w:val="5B745BFD"/>
    <w:rsid w:val="5B751975"/>
    <w:rsid w:val="5B962018"/>
    <w:rsid w:val="5C0D1BAE"/>
    <w:rsid w:val="5C7A36E7"/>
    <w:rsid w:val="5CF42BEF"/>
    <w:rsid w:val="5D184CAE"/>
    <w:rsid w:val="5D1F2B24"/>
    <w:rsid w:val="5D1F428F"/>
    <w:rsid w:val="5D2146AF"/>
    <w:rsid w:val="5D4F6922"/>
    <w:rsid w:val="5D6A16E0"/>
    <w:rsid w:val="5D6B1282"/>
    <w:rsid w:val="5D775E79"/>
    <w:rsid w:val="5D8679F8"/>
    <w:rsid w:val="5DBF77D3"/>
    <w:rsid w:val="5E2C2519"/>
    <w:rsid w:val="5E67438A"/>
    <w:rsid w:val="5EEA1036"/>
    <w:rsid w:val="5EF05EE3"/>
    <w:rsid w:val="5F49114F"/>
    <w:rsid w:val="5F57386C"/>
    <w:rsid w:val="5F732455"/>
    <w:rsid w:val="5FA171DD"/>
    <w:rsid w:val="606F1089"/>
    <w:rsid w:val="60934D78"/>
    <w:rsid w:val="60D86C2E"/>
    <w:rsid w:val="61776447"/>
    <w:rsid w:val="61A92379"/>
    <w:rsid w:val="6377272F"/>
    <w:rsid w:val="63A86D8C"/>
    <w:rsid w:val="63C27722"/>
    <w:rsid w:val="63C34C1F"/>
    <w:rsid w:val="63F04517"/>
    <w:rsid w:val="64406FC4"/>
    <w:rsid w:val="645C36D2"/>
    <w:rsid w:val="65077AE2"/>
    <w:rsid w:val="650A1380"/>
    <w:rsid w:val="658B24C1"/>
    <w:rsid w:val="661A455C"/>
    <w:rsid w:val="669B6734"/>
    <w:rsid w:val="66CD08B8"/>
    <w:rsid w:val="67087B42"/>
    <w:rsid w:val="670C5884"/>
    <w:rsid w:val="67114C48"/>
    <w:rsid w:val="67A27F96"/>
    <w:rsid w:val="67C95523"/>
    <w:rsid w:val="68534DEC"/>
    <w:rsid w:val="689A2A1B"/>
    <w:rsid w:val="69341E28"/>
    <w:rsid w:val="69AE49D0"/>
    <w:rsid w:val="69F04FE9"/>
    <w:rsid w:val="69F65B27"/>
    <w:rsid w:val="6A242EE4"/>
    <w:rsid w:val="6A5C1ADF"/>
    <w:rsid w:val="6A731776"/>
    <w:rsid w:val="6A7A4DD9"/>
    <w:rsid w:val="6A883473"/>
    <w:rsid w:val="6A94006A"/>
    <w:rsid w:val="6AC60C91"/>
    <w:rsid w:val="6B1940CB"/>
    <w:rsid w:val="6BF15048"/>
    <w:rsid w:val="6BFF7765"/>
    <w:rsid w:val="6C32393F"/>
    <w:rsid w:val="6C484CC6"/>
    <w:rsid w:val="6C9C6D62"/>
    <w:rsid w:val="6C9E6F7E"/>
    <w:rsid w:val="6CD85DD2"/>
    <w:rsid w:val="6D08089B"/>
    <w:rsid w:val="6D3C6797"/>
    <w:rsid w:val="6D417909"/>
    <w:rsid w:val="6E7B48A4"/>
    <w:rsid w:val="6E882F95"/>
    <w:rsid w:val="6EAE5472"/>
    <w:rsid w:val="6ED07197"/>
    <w:rsid w:val="6FF2313D"/>
    <w:rsid w:val="70FA162F"/>
    <w:rsid w:val="71D60F68"/>
    <w:rsid w:val="723839D1"/>
    <w:rsid w:val="72600832"/>
    <w:rsid w:val="72992605"/>
    <w:rsid w:val="72A87F3E"/>
    <w:rsid w:val="73697BBA"/>
    <w:rsid w:val="737A3B75"/>
    <w:rsid w:val="74C432FA"/>
    <w:rsid w:val="74D379E1"/>
    <w:rsid w:val="753A180E"/>
    <w:rsid w:val="75483649"/>
    <w:rsid w:val="757545F4"/>
    <w:rsid w:val="762267A7"/>
    <w:rsid w:val="762F0C47"/>
    <w:rsid w:val="768D5FA4"/>
    <w:rsid w:val="769D3E02"/>
    <w:rsid w:val="76BD44A5"/>
    <w:rsid w:val="771F0CBB"/>
    <w:rsid w:val="777D59E2"/>
    <w:rsid w:val="777F175A"/>
    <w:rsid w:val="77AD4519"/>
    <w:rsid w:val="77EF3B75"/>
    <w:rsid w:val="78175E36"/>
    <w:rsid w:val="78372035"/>
    <w:rsid w:val="786D3455"/>
    <w:rsid w:val="78E73A5B"/>
    <w:rsid w:val="79CB0C87"/>
    <w:rsid w:val="7A150154"/>
    <w:rsid w:val="7A8D418E"/>
    <w:rsid w:val="7AB54304"/>
    <w:rsid w:val="7AC57483"/>
    <w:rsid w:val="7B1B2263"/>
    <w:rsid w:val="7B672C31"/>
    <w:rsid w:val="7BB87930"/>
    <w:rsid w:val="7C466CEA"/>
    <w:rsid w:val="7D625DA6"/>
    <w:rsid w:val="7D657644"/>
    <w:rsid w:val="7E2C3CBE"/>
    <w:rsid w:val="7E3037AE"/>
    <w:rsid w:val="7E745D91"/>
    <w:rsid w:val="7F0163C9"/>
    <w:rsid w:val="7F78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0" w:beforeLines="0" w:beforeAutospacing="0" w:after="90" w:afterLines="0" w:afterAutospacing="0" w:line="576" w:lineRule="auto"/>
      <w:outlineLvl w:val="0"/>
    </w:pPr>
    <w:rPr>
      <w:rFonts w:ascii="Calibri" w:hAnsi="Calibri"/>
      <w:b/>
      <w:kern w:val="44"/>
      <w:sz w:val="28"/>
    </w:rPr>
  </w:style>
  <w:style w:type="paragraph" w:styleId="3">
    <w:name w:val="heading 2"/>
    <w:next w:val="1"/>
    <w:unhideWhenUsed/>
    <w:qFormat/>
    <w:uiPriority w:val="9"/>
    <w:pPr>
      <w:keepNext/>
      <w:keepLines/>
      <w:spacing w:after="3" w:line="259" w:lineRule="auto"/>
      <w:ind w:left="24" w:hanging="10"/>
      <w:outlineLvl w:val="1"/>
    </w:pPr>
    <w:rPr>
      <w:rFonts w:ascii="Microsoft YaHei UI" w:hAnsi="Microsoft YaHei UI" w:eastAsia="Microsoft YaHei UI" w:cs="Microsoft YaHei UI"/>
      <w:b/>
      <w:color w:val="262626"/>
      <w:kern w:val="2"/>
      <w:szCs w:val="22"/>
      <w:lang w:val="en-US" w:eastAsia="zh-CN" w:bidi="ar-SA"/>
      <w14:ligatures w14:val="standardContextual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1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styleId="12">
    <w:name w:val="List Paragraph"/>
    <w:basedOn w:val="1"/>
    <w:autoRedefine/>
    <w:unhideWhenUsed/>
    <w:qFormat/>
    <w:uiPriority w:val="99"/>
    <w:pPr>
      <w:ind w:firstLine="420" w:firstLineChars="200"/>
    </w:pPr>
  </w:style>
  <w:style w:type="table" w:customStyle="1" w:styleId="13">
    <w:name w:val="Grid Table 1 Light - Accent 41"/>
    <w:basedOn w:val="8"/>
    <w:qFormat/>
    <w:uiPriority w:val="46"/>
    <w:tblPr>
      <w:tblBorders>
        <w:top w:val="single" w:color="C7E4B3" w:themeColor="accent4" w:themeTint="66" w:sz="4" w:space="0"/>
        <w:left w:val="single" w:color="C7E4B3" w:themeColor="accent4" w:themeTint="66" w:sz="4" w:space="0"/>
        <w:bottom w:val="single" w:color="C7E4B3" w:themeColor="accent4" w:themeTint="66" w:sz="4" w:space="0"/>
        <w:right w:val="single" w:color="C7E4B3" w:themeColor="accent4" w:themeTint="66" w:sz="4" w:space="0"/>
        <w:insideH w:val="single" w:color="C7E4B3" w:themeColor="accent4" w:themeTint="66" w:sz="4" w:space="0"/>
        <w:insideV w:val="single" w:color="C7E4B3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ACD78D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ACD78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lengthwise3"/>
      <sectRole val="1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1924</Words>
  <Characters>2630</Characters>
  <Lines>0</Lines>
  <Paragraphs>0</Paragraphs>
  <TotalTime>305</TotalTime>
  <ScaleCrop>false</ScaleCrop>
  <LinksUpToDate>false</LinksUpToDate>
  <CharactersWithSpaces>2676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2019-12-12T12:44:00Z</dcterms:created>
  <dc:creator>咕咕</dc:creator>
  <cp:lastModifiedBy>杰</cp:lastModifiedBy>
  <dcterms:modified xsi:type="dcterms:W3CDTF">2025-08-29T07:23:54Z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992B4C3C23DC44A5913590D7ECB5DCE5_13</vt:lpwstr>
  </property>
  <property fmtid="{D5CDD505-2E9C-101B-9397-08002B2CF9AE}" pid="4" name="KSOTemplateDocerSaveRecord">
    <vt:lpwstr>eyJoZGlkIjoiNzk2NzQwMmU4ZmE4M2U0NDg4Y2QzZDM1NThkY2ViYTQiLCJ1c2VySWQiOiI0ODY0ODgyODkifQ==</vt:lpwstr>
  </property>
</Properties>
</file>