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-740410</wp:posOffset>
            </wp:positionH>
            <wp:positionV relativeFrom="paragraph">
              <wp:posOffset>-910590</wp:posOffset>
            </wp:positionV>
            <wp:extent cx="7554595" cy="2753995"/>
            <wp:effectExtent l="0" t="0" r="1905" b="1905"/>
            <wp:wrapNone/>
            <wp:docPr id="1" name="图片 1" descr="C:\Users\dell\Desktop\企业微信截图_16910300258576(2).png企业微信截图_16910300258576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esktop\企业微信截图_16910300258576(2).png企业微信截图_16910300258576(2)"/>
                    <pic:cNvPicPr>
                      <a:picLocks noChangeAspect="1"/>
                    </pic:cNvPicPr>
                  </pic:nvPicPr>
                  <pic:blipFill>
                    <a:blip r:embed="rId4"/>
                    <a:srcRect t="261" b="261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t>8个100M自适应POE端口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t>+2个100M级联端口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50"/>
          <w:szCs w:val="50"/>
          <w:u w:val="none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9"/>
          <w:szCs w:val="49"/>
          <w:lang w:val="en-US" w:eastAsia="zh-CN" w:bidi="ar"/>
        </w:rPr>
        <w:t>云网管POE交换机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NS210PM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433060" cy="1570990"/>
            <wp:effectExtent l="0" t="0" r="254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left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  <w:t>概述</w:t>
      </w: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14:textFill>
            <w14:solidFill>
              <w14:schemeClr w14:val="accent5"/>
            </w14:solidFill>
          </w14:textFill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磊科</w:t>
      </w: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NS210PM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能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提供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个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100Mbps 端口和8个100Mbps POE端口，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POE端口具有电源功能。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所有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端口可以自动检测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并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识别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出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符合IEEE 802.3af/at标准的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受电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设备，并通过网线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进行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供电。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Arial"/>
          <w:szCs w:val="21"/>
          <w:lang w:eastAsia="zh-CN"/>
        </w:rPr>
        <w:t>可视化远程管理，现场问题，远程解决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 w:themeColor="text1" w:themeTint="BF"/>
          <w:spacing w:val="0"/>
          <w:kern w:val="0"/>
          <w:sz w:val="21"/>
          <w:szCs w:val="21"/>
          <w:u w:val="none"/>
          <w:lang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易于管理维护，满足用户对于网络设备易管理、高安全、低成本的组网需求，适用于校园、酒店及企业园区多种应用场景。</w:t>
      </w:r>
    </w:p>
    <w:p>
      <w:pPr>
        <w:spacing w:line="240" w:lineRule="auto"/>
        <w:jc w:val="left"/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472C4" w:themeColor="accent5"/>
          <w:sz w:val="21"/>
          <w:szCs w:val="21"/>
          <w:lang w:val="en-US" w:eastAsia="zh-CN"/>
          <w14:textFill>
            <w14:solidFill>
              <w14:schemeClr w14:val="accent5"/>
            </w14:solidFill>
          </w14:textFill>
        </w:rPr>
        <w:t>特点：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端口：8个10/100Mbp自适应POE供电口和2个10/100Mbps自适应端口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遵循IEEE 802.3以太网与IEEE 802.3u快速以太网协议标准；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支持IEEE802.3af/at标准，兼容支持IEEE802.3af/at的受电设备（PD）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过流过载短路保护，杜绝隐患、供电安全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所有端口均支持自动翻转（Auto MDI/MDI-X）功能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支持IEEE802.3X全双工流控与Back Pressure半双工流控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 xml:space="preserve">• 所有端口均具备线速转发能力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支持MAC地址的自主学习与老化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云网管：可视化远程管理，现场问题，远程解决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0"/>
          <w:kern w:val="0"/>
          <w:sz w:val="18"/>
          <w:szCs w:val="18"/>
          <w:u w:val="none"/>
          <w:lang w:val="en-US" w:eastAsia="zh-CN" w:bidi="ar"/>
        </w:rPr>
        <w:t>• 全金属外壳，整机满载120W</w:t>
      </w:r>
    </w:p>
    <w:p>
      <w:pPr>
        <w:jc w:val="left"/>
        <w:rPr>
          <w:b/>
          <w:bCs/>
          <w:color w:val="4472C4" w:themeColor="accent5"/>
          <w:sz w:val="24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default" w:ascii="Arial-BoldMT" w:hAnsi="Arial-BoldMT" w:eastAsia="Arial-BoldMT" w:cs="Arial-BoldMT"/>
          <w:b/>
          <w:color w:val="333333"/>
          <w:kern w:val="0"/>
          <w:sz w:val="49"/>
          <w:szCs w:val="49"/>
          <w:lang w:val="en-US" w:eastAsia="zh-CN" w:bidi="ar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-752475</wp:posOffset>
            </wp:positionH>
            <wp:positionV relativeFrom="page">
              <wp:posOffset>10795</wp:posOffset>
            </wp:positionV>
            <wp:extent cx="7554595" cy="2753995"/>
            <wp:effectExtent l="0" t="0" r="1905" b="1905"/>
            <wp:wrapNone/>
            <wp:docPr id="3" name="图片 3" descr="C:\Users\dell\Desktop\企业微信截图_16910300258576(2).png企业微信截图_16910300258576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dell\Desktop\企业微信截图_16910300258576(2).png企业微信截图_16910300258576(2)"/>
                    <pic:cNvPicPr>
                      <a:picLocks noChangeAspect="1"/>
                    </pic:cNvPicPr>
                  </pic:nvPicPr>
                  <pic:blipFill>
                    <a:blip r:embed="rId4"/>
                    <a:srcRect t="261" b="261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4472C4" w:themeColor="accent5"/>
          <w:sz w:val="24"/>
          <w:szCs w:val="24"/>
          <w:lang w:val="en-US" w:eastAsia="zh-CN"/>
          <w14:textFill>
            <w14:solidFill>
              <w14:schemeClr w14:val="accent5"/>
            </w14:solidFill>
          </w14:textFill>
        </w:rPr>
        <w:t>详述</w:t>
      </w:r>
      <w:r>
        <w:rPr>
          <w:b/>
          <w:bCs/>
          <w:color w:val="4472C4" w:themeColor="accent5"/>
          <w:sz w:val="24"/>
          <w:szCs w:val="24"/>
          <w14:textFill>
            <w14:solidFill>
              <w14:schemeClr w14:val="accent5"/>
            </w14:solidFill>
          </w14:textFill>
        </w:rPr>
        <w:t>：</w:t>
      </w:r>
    </w:p>
    <w:tbl>
      <w:tblPr>
        <w:tblStyle w:val="7"/>
        <w:tblW w:w="0" w:type="auto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7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480" w:type="dxa"/>
            <w:gridSpan w:val="2"/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指示灯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电源指示灯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交换机电源指示灯，点亮：设备已加电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端口灯Link/ACT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点亮：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POE口供电正常；闪烁：数据传输中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480" w:type="dxa"/>
            <w:gridSpan w:val="2"/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硬件规格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端口组成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8个100Mbps POE.RJ45端口端口 + 2个100Mbps 级联RJ45端口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背板带宽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2.0G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MAC地址表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电源规格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AC输入 100-250V，标配120W电源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网络介质与传输距离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100Base-TX: 2对5类（Cat5）或以上UTP/STP(≤100m)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10Base-TX: 2对5类（Cat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5e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）或以上UTP/STP(≤250m)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480" w:type="dxa"/>
            <w:gridSpan w:val="2"/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软件规格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基本功能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遵循IEEE 802.3 以太网和IEEE802.3u 快速以太网协议标准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兼容符合IEEE 802.3a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f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/a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t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标准的受电设备（PD）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兼容符合已认证过的非标受电设备（PD）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存储转发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MAC自动学习与老化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IEEE802.3X全双工流控与Back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P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ressure半双工流控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以太网协议和标准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IIEEE 802.3 以太网介质访问控制协议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IEEE 802.3i 10BASE-T以太网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IEEE 802.3u 100BASE-TX快速以太网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IEEE 802.3ab 1000BASE-T千兆以太网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IEEE 802.3af 通过以太网数据线对或设备来实现以太网设备供电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IEEE 802.3at 通过以太网数据线对或设备来实现以太网设备大功率供电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IEEE 802.3x 流量控制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数据传输速率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以太网10Mbps半双工，20Mbps全双工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快速以太网100Mbps半双工，200Mbps全双工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千兆以太网2000Mbs全双工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云网管：信息查看</w:t>
            </w:r>
          </w:p>
        </w:tc>
        <w:tc>
          <w:tcPr>
            <w:tcW w:w="70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交换机SN信息、设备型号、固件版本、实时IP、实时端口功率、端口LINK状态、链接双工、上下行速率；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云网管：设备操作</w:t>
            </w:r>
          </w:p>
        </w:tc>
        <w:tc>
          <w:tcPr>
            <w:tcW w:w="701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端口隔离设定、端口重启、端口POE开关、端口超远开关、交换机整机重启、整机设定重置、固件升级；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480" w:type="dxa"/>
            <w:gridSpan w:val="2"/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环境要求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温度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工作温度：0℃～40℃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存储温度：-40℃～70℃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湿度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工作湿度：10%～90% RH不凝结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存储湿度：5%～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90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% RH不凝结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海拔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工作：最大 6500 英尺（2000 米）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存储：最大 6500 英尺（2000 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480" w:type="dxa"/>
            <w:gridSpan w:val="2"/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雷击浪涌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差模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4KV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共模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4KV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2" w:hRule="atLeast"/>
        </w:trPr>
        <w:tc>
          <w:tcPr>
            <w:tcW w:w="9480" w:type="dxa"/>
            <w:gridSpan w:val="2"/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尺寸规格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bookmarkStart w:id="1" w:name="_GoBack"/>
            <w:r>
              <w:rPr>
                <w:rFonts w:hint="default" w:ascii="Arial-BoldMT" w:hAnsi="Arial-BoldMT" w:eastAsia="Arial-BoldMT" w:cs="Arial-BoldMT"/>
                <w:b/>
                <w:color w:val="333333"/>
                <w:kern w:val="0"/>
                <w:sz w:val="49"/>
                <w:szCs w:val="49"/>
                <w:lang w:val="en-US" w:eastAsia="zh-CN" w:bidi="ar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-833755</wp:posOffset>
                  </wp:positionH>
                  <wp:positionV relativeFrom="paragraph">
                    <wp:posOffset>-913130</wp:posOffset>
                  </wp:positionV>
                  <wp:extent cx="7554595" cy="2753995"/>
                  <wp:effectExtent l="0" t="0" r="1905" b="1905"/>
                  <wp:wrapNone/>
                  <wp:docPr id="6" name="图片 6" descr="C:\Users\dell\Desktop\企业微信截图_16910300258576(2).png企业微信截图_16910300258576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\Users\dell\Desktop\企业微信截图_16910300258576(2).png企业微信截图_16910300258576(2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261" b="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595" cy="275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1"/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裸机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190mm*140mm*43mm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整机（中性包装）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220mm*195mm*52mm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整箱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415mm*290mm*455mm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480" w:type="dxa"/>
            <w:gridSpan w:val="2"/>
            <w:shd w:val="clear" w:color="auto" w:fill="BDD6EE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包装运输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填充防护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一体内卡防护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包装箱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优质牛卡纸箱，尺寸415mm*290mm*455mm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包装数量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20PCS(箱)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其它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包装箱上应有标签标注产品型号编码及数量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湿度环境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5%～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90</w:t>
            </w: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% RH不凝结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温度环境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-40℃～70℃，结合湿度考虑，最合理状态建议为室温条件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堆叠上限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完整包装状态下，最高4层上限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注意事项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存储仓库应清洁、通风、无腐蚀气体、无易燃、易爆及其它腐蚀性化学物品，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远离热源、强烈机械振动源。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存储周期</w:t>
            </w:r>
          </w:p>
        </w:tc>
        <w:tc>
          <w:tcPr>
            <w:tcW w:w="7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595959" w:themeColor="text1" w:themeTint="A6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按以上要求合理存放可持续一年，满2年建议重新检验再使用</w:t>
            </w:r>
          </w:p>
        </w:tc>
      </w:tr>
    </w:tbl>
    <w:tbl>
      <w:tblPr>
        <w:tblStyle w:val="7"/>
        <w:tblpPr w:leftFromText="180" w:rightFromText="180" w:vertAnchor="text" w:horzAnchor="page" w:tblpX="1019" w:tblpY="3906"/>
        <w:tblOverlap w:val="never"/>
        <w:tblW w:w="10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317"/>
        <w:gridCol w:w="2369"/>
        <w:gridCol w:w="2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1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bookmarkStart w:id="0" w:name="_top"/>
            <w:bookmarkEnd w:id="0"/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版本</w:t>
            </w:r>
          </w:p>
        </w:tc>
        <w:tc>
          <w:tcPr>
            <w:tcW w:w="2317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修改日期</w:t>
            </w:r>
          </w:p>
        </w:tc>
        <w:tc>
          <w:tcPr>
            <w:tcW w:w="2369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修改人</w:t>
            </w:r>
          </w:p>
        </w:tc>
        <w:tc>
          <w:tcPr>
            <w:tcW w:w="2722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1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V1.0</w:t>
            </w:r>
          </w:p>
        </w:tc>
        <w:tc>
          <w:tcPr>
            <w:tcW w:w="2317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default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23/8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/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2369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陈昊</w:t>
            </w:r>
          </w:p>
        </w:tc>
        <w:tc>
          <w:tcPr>
            <w:tcW w:w="2722" w:type="dxa"/>
            <w:vAlign w:val="top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编写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1" w:type="dxa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V1.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317" w:type="dxa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</w:p>
        </w:tc>
        <w:tc>
          <w:tcPr>
            <w:tcW w:w="2369" w:type="dxa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</w:p>
        </w:tc>
        <w:tc>
          <w:tcPr>
            <w:tcW w:w="2722" w:type="dxa"/>
          </w:tcPr>
          <w:p>
            <w:pPr>
              <w:pStyle w:val="14"/>
              <w:ind w:firstLine="0" w:firstLineChars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lang w:val="en-US" w:eastAsia="zh-CN"/>
              </w:rPr>
              <w:t>校对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MYRIADPRO-REGULAR" w:cs="Arial"/>
          <w:b w:val="0"/>
          <w:i w:val="0"/>
          <w:caps w:val="0"/>
          <w:color w:val="666666"/>
          <w:spacing w:val="0"/>
          <w:kern w:val="0"/>
          <w:sz w:val="24"/>
          <w:szCs w:val="24"/>
          <w:u w:val="none"/>
          <w:lang w:eastAsia="zh-CN" w:bidi="ar"/>
        </w:rPr>
      </w:pPr>
    </w:p>
    <w:sectPr>
      <w:pgSz w:w="11906" w:h="16838"/>
      <w:pgMar w:top="1440" w:right="1266" w:bottom="1440" w:left="11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-BoldMT">
    <w:altName w:val="Segoe Print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OTdkZjUzMDI4NDYzYjc3NWI4OTA0OTI5NDgzYjMifQ=="/>
  </w:docVars>
  <w:rsids>
    <w:rsidRoot w:val="6E7EDA71"/>
    <w:rsid w:val="0845355C"/>
    <w:rsid w:val="0CA05EF5"/>
    <w:rsid w:val="0CB36E86"/>
    <w:rsid w:val="0CF03599"/>
    <w:rsid w:val="0E060A24"/>
    <w:rsid w:val="108908CD"/>
    <w:rsid w:val="10F664CA"/>
    <w:rsid w:val="114731D8"/>
    <w:rsid w:val="1C2A0159"/>
    <w:rsid w:val="2533755C"/>
    <w:rsid w:val="254D1C1D"/>
    <w:rsid w:val="26B1690A"/>
    <w:rsid w:val="2B053E56"/>
    <w:rsid w:val="3BFE5A83"/>
    <w:rsid w:val="3D2872F3"/>
    <w:rsid w:val="405A1BAD"/>
    <w:rsid w:val="49105A72"/>
    <w:rsid w:val="49AD77CB"/>
    <w:rsid w:val="49FA3F8D"/>
    <w:rsid w:val="4EE27FAD"/>
    <w:rsid w:val="4FBF439C"/>
    <w:rsid w:val="511451F2"/>
    <w:rsid w:val="51A16976"/>
    <w:rsid w:val="525945A0"/>
    <w:rsid w:val="52BE40B7"/>
    <w:rsid w:val="57CE799C"/>
    <w:rsid w:val="57FF048F"/>
    <w:rsid w:val="59D74896"/>
    <w:rsid w:val="59DF750F"/>
    <w:rsid w:val="5E2C27BF"/>
    <w:rsid w:val="5F57BB4F"/>
    <w:rsid w:val="5FA9947E"/>
    <w:rsid w:val="5FCB39EF"/>
    <w:rsid w:val="63841ED3"/>
    <w:rsid w:val="657C124C"/>
    <w:rsid w:val="68872F0B"/>
    <w:rsid w:val="6C3F4A6B"/>
    <w:rsid w:val="6E7EDA71"/>
    <w:rsid w:val="712A383E"/>
    <w:rsid w:val="72363C41"/>
    <w:rsid w:val="76F500E6"/>
    <w:rsid w:val="78EF42FD"/>
    <w:rsid w:val="790E4A52"/>
    <w:rsid w:val="7AF97A35"/>
    <w:rsid w:val="7B83358B"/>
    <w:rsid w:val="7B926265"/>
    <w:rsid w:val="7E060C7B"/>
    <w:rsid w:val="7E7C2111"/>
    <w:rsid w:val="7EFA5B08"/>
    <w:rsid w:val="7F4F0F11"/>
    <w:rsid w:val="7F7BD39B"/>
    <w:rsid w:val="7FC708CE"/>
    <w:rsid w:val="9DDEE0D4"/>
    <w:rsid w:val="9EF7AB90"/>
    <w:rsid w:val="A73F7732"/>
    <w:rsid w:val="CE1F39E0"/>
    <w:rsid w:val="E9FF3939"/>
    <w:rsid w:val="EFF77263"/>
    <w:rsid w:val="F7BB7677"/>
    <w:rsid w:val="FACFCA79"/>
    <w:rsid w:val="FFB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01"/>
    <w:basedOn w:val="8"/>
    <w:qFormat/>
    <w:uiPriority w:val="0"/>
    <w:rPr>
      <w:rFonts w:hint="eastAsia" w:ascii="宋体" w:hAnsi="宋体" w:eastAsia="宋体" w:cs="宋体"/>
      <w:color w:val="666666"/>
      <w:sz w:val="24"/>
      <w:szCs w:val="24"/>
      <w:u w:val="none"/>
    </w:rPr>
  </w:style>
  <w:style w:type="character" w:customStyle="1" w:styleId="10">
    <w:name w:val="font11"/>
    <w:basedOn w:val="8"/>
    <w:qFormat/>
    <w:uiPriority w:val="0"/>
    <w:rPr>
      <w:rFonts w:hint="default" w:ascii="Arial" w:hAnsi="Arial" w:cs="Arial"/>
      <w:color w:val="666666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ascii="华文宋体" w:hAnsi="华文宋体" w:eastAsia="华文宋体" w:cs="华文宋体"/>
      <w:color w:val="666666"/>
      <w:sz w:val="24"/>
      <w:szCs w:val="24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666666"/>
      <w:sz w:val="24"/>
      <w:szCs w:val="24"/>
      <w:u w:val="none"/>
    </w:rPr>
  </w:style>
  <w:style w:type="character" w:customStyle="1" w:styleId="13">
    <w:name w:val="font31"/>
    <w:basedOn w:val="8"/>
    <w:qFormat/>
    <w:uiPriority w:val="0"/>
    <w:rPr>
      <w:rFonts w:ascii="华文宋体" w:hAnsi="华文宋体" w:eastAsia="华文宋体" w:cs="华文宋体"/>
      <w:color w:val="666666"/>
      <w:sz w:val="24"/>
      <w:szCs w:val="24"/>
      <w:u w:val="none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2"/>
    </w:rPr>
  </w:style>
  <w:style w:type="character" w:customStyle="1" w:styleId="15">
    <w:name w:val="apple-style-span"/>
    <w:basedOn w:val="8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1117</Words>
  <Characters>1628</Characters>
  <Lines>0</Lines>
  <Paragraphs>0</Paragraphs>
  <TotalTime>2</TotalTime>
  <ScaleCrop>false</ScaleCrop>
  <LinksUpToDate>false</LinksUpToDate>
  <CharactersWithSpaces>1682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2020-07-18T19:49:00Z</dcterms:created>
  <dc:creator>mqfishing</dc:creator>
  <cp:lastModifiedBy>WPS_1685598909</cp:lastModifiedBy>
  <dcterms:modified xsi:type="dcterms:W3CDTF">2023-08-24T07:08:59Z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0E7F8CC037D54ACEB44C393AB8FFEDC8_12</vt:lpwstr>
  </property>
</Properties>
</file>